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18B" w14:textId="77777777" w:rsidR="00E1201B" w:rsidRPr="00726D8C" w:rsidRDefault="00E1201B" w:rsidP="00E1201B">
      <w:pPr>
        <w:jc w:val="center"/>
        <w:rPr>
          <w:b/>
          <w:sz w:val="28"/>
          <w:szCs w:val="28"/>
        </w:rPr>
      </w:pPr>
      <w:r w:rsidRPr="00726D8C">
        <w:rPr>
          <w:b/>
          <w:sz w:val="28"/>
          <w:szCs w:val="28"/>
        </w:rPr>
        <w:t xml:space="preserve">Извещение </w:t>
      </w:r>
    </w:p>
    <w:p w14:paraId="36E76FBA" w14:textId="77777777" w:rsidR="00245578" w:rsidRPr="00726D8C" w:rsidRDefault="00E1201B" w:rsidP="00245578">
      <w:pPr>
        <w:jc w:val="center"/>
        <w:rPr>
          <w:b/>
        </w:rPr>
      </w:pPr>
      <w:r w:rsidRPr="00726D8C">
        <w:rPr>
          <w:b/>
        </w:rPr>
        <w:t xml:space="preserve">о проведении </w:t>
      </w:r>
      <w:r w:rsidR="00245578" w:rsidRPr="00726D8C">
        <w:rPr>
          <w:b/>
        </w:rPr>
        <w:t>Открытого конкурса по отбору аудиторской организации для проведения аудита бухгалтерской (финансовой) отчетности</w:t>
      </w:r>
    </w:p>
    <w:p w14:paraId="7141C947" w14:textId="67B6146D" w:rsidR="00E1201B" w:rsidRPr="00F571D3" w:rsidRDefault="00245578" w:rsidP="00245578">
      <w:pPr>
        <w:jc w:val="center"/>
        <w:rPr>
          <w:b/>
        </w:rPr>
      </w:pPr>
      <w:r w:rsidRPr="00726D8C">
        <w:rPr>
          <w:b/>
        </w:rPr>
        <w:t>Микрокредитной компании Камчатский</w:t>
      </w:r>
      <w:r w:rsidRPr="00245578">
        <w:rPr>
          <w:b/>
        </w:rPr>
        <w:t xml:space="preserve"> государственный фонд поддержки предпринимательства</w:t>
      </w:r>
    </w:p>
    <w:p w14:paraId="03D39897" w14:textId="77777777" w:rsidR="00E1201B" w:rsidRDefault="00E1201B" w:rsidP="00E1201B">
      <w:pPr>
        <w:jc w:val="center"/>
        <w:rPr>
          <w:b/>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7178"/>
      </w:tblGrid>
      <w:tr w:rsidR="00E1201B" w14:paraId="05417092" w14:textId="77777777" w:rsidTr="002101DC">
        <w:trPr>
          <w:tblHeader/>
        </w:trPr>
        <w:tc>
          <w:tcPr>
            <w:tcW w:w="880" w:type="dxa"/>
            <w:tcBorders>
              <w:top w:val="single" w:sz="4" w:space="0" w:color="auto"/>
              <w:left w:val="single" w:sz="4" w:space="0" w:color="auto"/>
              <w:bottom w:val="single" w:sz="4" w:space="0" w:color="auto"/>
              <w:right w:val="single" w:sz="4" w:space="0" w:color="auto"/>
            </w:tcBorders>
            <w:vAlign w:val="center"/>
            <w:hideMark/>
          </w:tcPr>
          <w:p w14:paraId="67918CA1" w14:textId="77777777" w:rsidR="00E1201B" w:rsidRPr="00352742" w:rsidRDefault="00E1201B" w:rsidP="00784E07">
            <w:pPr>
              <w:autoSpaceDE w:val="0"/>
              <w:autoSpaceDN w:val="0"/>
              <w:adjustRightInd w:val="0"/>
              <w:jc w:val="center"/>
              <w:rPr>
                <w:b/>
                <w:snapToGrid w:val="0"/>
              </w:rPr>
            </w:pPr>
            <w:r w:rsidRPr="00352742">
              <w:rPr>
                <w:b/>
                <w:snapToGrid w:val="0"/>
              </w:rPr>
              <w:t>№</w:t>
            </w:r>
          </w:p>
          <w:p w14:paraId="55CCEA08" w14:textId="77777777" w:rsidR="00E1201B" w:rsidRPr="00352742" w:rsidRDefault="00E1201B" w:rsidP="00784E07">
            <w:pPr>
              <w:autoSpaceDE w:val="0"/>
              <w:autoSpaceDN w:val="0"/>
              <w:adjustRightInd w:val="0"/>
              <w:jc w:val="center"/>
              <w:rPr>
                <w:b/>
              </w:rPr>
            </w:pPr>
            <w:r w:rsidRPr="00352742">
              <w:rPr>
                <w:b/>
                <w:snapToGrid w:val="0"/>
              </w:rPr>
              <w:t>п</w:t>
            </w:r>
            <w:r w:rsidR="00640800" w:rsidRPr="00352742">
              <w:rPr>
                <w:b/>
                <w:snapToGrid w:val="0"/>
              </w:rPr>
              <w:t>\</w:t>
            </w:r>
            <w:r w:rsidRPr="00352742">
              <w:rPr>
                <w:b/>
                <w:snapToGrid w:val="0"/>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3B242D" w14:textId="77777777" w:rsidR="00E1201B" w:rsidRPr="00352742" w:rsidRDefault="00E1201B" w:rsidP="00784E07">
            <w:pPr>
              <w:keepNext/>
              <w:jc w:val="center"/>
              <w:outlineLvl w:val="0"/>
              <w:rPr>
                <w:b/>
                <w:bCs/>
              </w:rPr>
            </w:pPr>
            <w:r w:rsidRPr="00352742">
              <w:rPr>
                <w:b/>
              </w:rPr>
              <w:t>Наименование пункта</w:t>
            </w:r>
          </w:p>
        </w:tc>
        <w:tc>
          <w:tcPr>
            <w:tcW w:w="7178" w:type="dxa"/>
            <w:tcBorders>
              <w:top w:val="single" w:sz="4" w:space="0" w:color="auto"/>
              <w:left w:val="single" w:sz="4" w:space="0" w:color="auto"/>
              <w:bottom w:val="single" w:sz="4" w:space="0" w:color="auto"/>
              <w:right w:val="single" w:sz="4" w:space="0" w:color="auto"/>
            </w:tcBorders>
            <w:vAlign w:val="center"/>
            <w:hideMark/>
          </w:tcPr>
          <w:p w14:paraId="44E7A212" w14:textId="77777777" w:rsidR="00E1201B" w:rsidRPr="00352742" w:rsidRDefault="00E1201B" w:rsidP="00784E07">
            <w:pPr>
              <w:keepNext/>
              <w:tabs>
                <w:tab w:val="left" w:pos="404"/>
                <w:tab w:val="right" w:pos="4697"/>
              </w:tabs>
              <w:jc w:val="center"/>
              <w:outlineLvl w:val="0"/>
              <w:rPr>
                <w:b/>
                <w:bCs/>
              </w:rPr>
            </w:pPr>
            <w:r w:rsidRPr="00352742">
              <w:rPr>
                <w:b/>
              </w:rPr>
              <w:t>Описание</w:t>
            </w:r>
          </w:p>
        </w:tc>
      </w:tr>
      <w:tr w:rsidR="00E1201B" w14:paraId="54FC5512" w14:textId="77777777" w:rsidTr="002101DC">
        <w:trPr>
          <w:trHeight w:val="952"/>
        </w:trPr>
        <w:tc>
          <w:tcPr>
            <w:tcW w:w="880" w:type="dxa"/>
            <w:tcBorders>
              <w:top w:val="single" w:sz="4" w:space="0" w:color="auto"/>
              <w:left w:val="single" w:sz="4" w:space="0" w:color="auto"/>
              <w:bottom w:val="single" w:sz="4" w:space="0" w:color="auto"/>
              <w:right w:val="single" w:sz="4" w:space="0" w:color="auto"/>
            </w:tcBorders>
            <w:hideMark/>
          </w:tcPr>
          <w:p w14:paraId="3A885753" w14:textId="77777777" w:rsidR="00E1201B" w:rsidRPr="00352742" w:rsidRDefault="00E1201B" w:rsidP="00784E07">
            <w:pPr>
              <w:autoSpaceDE w:val="0"/>
              <w:autoSpaceDN w:val="0"/>
              <w:adjustRightInd w:val="0"/>
              <w:jc w:val="center"/>
              <w:rPr>
                <w:snapToGrid w:val="0"/>
                <w:lang w:val="en-US"/>
              </w:rPr>
            </w:pPr>
            <w:r w:rsidRPr="00352742">
              <w:rPr>
                <w:snapToGrid w:val="0"/>
                <w:lang w:val="en-US"/>
              </w:rPr>
              <w:t>1</w:t>
            </w:r>
          </w:p>
        </w:tc>
        <w:tc>
          <w:tcPr>
            <w:tcW w:w="1842" w:type="dxa"/>
            <w:tcBorders>
              <w:top w:val="single" w:sz="4" w:space="0" w:color="auto"/>
              <w:left w:val="single" w:sz="4" w:space="0" w:color="auto"/>
              <w:bottom w:val="single" w:sz="4" w:space="0" w:color="auto"/>
              <w:right w:val="single" w:sz="4" w:space="0" w:color="auto"/>
            </w:tcBorders>
          </w:tcPr>
          <w:p w14:paraId="1B8ACD2B" w14:textId="77777777" w:rsidR="00AD7DA9" w:rsidRPr="00352742" w:rsidRDefault="00E1201B" w:rsidP="00784E07">
            <w:pPr>
              <w:widowControl w:val="0"/>
            </w:pPr>
            <w:r w:rsidRPr="00352742">
              <w:rPr>
                <w:snapToGrid w:val="0"/>
              </w:rPr>
              <w:t>Организатор конкурса</w:t>
            </w:r>
          </w:p>
        </w:tc>
        <w:tc>
          <w:tcPr>
            <w:tcW w:w="7178" w:type="dxa"/>
            <w:tcBorders>
              <w:top w:val="single" w:sz="4" w:space="0" w:color="auto"/>
              <w:left w:val="single" w:sz="4" w:space="0" w:color="auto"/>
              <w:bottom w:val="single" w:sz="4" w:space="0" w:color="auto"/>
              <w:right w:val="single" w:sz="4" w:space="0" w:color="auto"/>
            </w:tcBorders>
          </w:tcPr>
          <w:p w14:paraId="36ED9F12" w14:textId="77777777" w:rsidR="00E1201B" w:rsidRPr="003A1C5E" w:rsidRDefault="00E1201B" w:rsidP="00784E07">
            <w:pPr>
              <w:widowControl w:val="0"/>
              <w:autoSpaceDE w:val="0"/>
              <w:autoSpaceDN w:val="0"/>
              <w:adjustRightInd w:val="0"/>
              <w:jc w:val="both"/>
            </w:pPr>
            <w:r w:rsidRPr="003A1C5E">
              <w:t>Микрокредитная компания Камчатский государственный фонд поддержки предпринимательства (</w:t>
            </w:r>
            <w:r w:rsidR="00383B7B" w:rsidRPr="003A1C5E">
              <w:t>официальное сокращенное наименование</w:t>
            </w:r>
            <w:r w:rsidR="00804FFC" w:rsidRPr="003A1C5E">
              <w:t xml:space="preserve"> – </w:t>
            </w:r>
            <w:r w:rsidRPr="003A1C5E">
              <w:t>МКК Фонд поддержки предпринимательства)</w:t>
            </w:r>
          </w:p>
        </w:tc>
      </w:tr>
      <w:tr w:rsidR="00AD7DA9" w14:paraId="56CCF496" w14:textId="77777777" w:rsidTr="002101DC">
        <w:tc>
          <w:tcPr>
            <w:tcW w:w="880" w:type="dxa"/>
            <w:tcBorders>
              <w:top w:val="single" w:sz="4" w:space="0" w:color="auto"/>
              <w:left w:val="single" w:sz="4" w:space="0" w:color="auto"/>
              <w:bottom w:val="single" w:sz="4" w:space="0" w:color="auto"/>
              <w:right w:val="single" w:sz="4" w:space="0" w:color="auto"/>
            </w:tcBorders>
          </w:tcPr>
          <w:p w14:paraId="6F588414" w14:textId="77777777" w:rsidR="00AD7DA9" w:rsidRPr="00352742" w:rsidRDefault="00AD7DA9" w:rsidP="00784E07">
            <w:pPr>
              <w:autoSpaceDE w:val="0"/>
              <w:autoSpaceDN w:val="0"/>
              <w:adjustRightInd w:val="0"/>
              <w:jc w:val="center"/>
              <w:rPr>
                <w:snapToGrid w:val="0"/>
              </w:rPr>
            </w:pPr>
            <w:r w:rsidRPr="00352742">
              <w:rPr>
                <w:snapToGrid w:val="0"/>
                <w:lang w:val="en-US"/>
              </w:rPr>
              <w:t>2</w:t>
            </w:r>
          </w:p>
        </w:tc>
        <w:tc>
          <w:tcPr>
            <w:tcW w:w="1842" w:type="dxa"/>
            <w:tcBorders>
              <w:top w:val="single" w:sz="4" w:space="0" w:color="auto"/>
              <w:left w:val="single" w:sz="4" w:space="0" w:color="auto"/>
              <w:bottom w:val="single" w:sz="4" w:space="0" w:color="auto"/>
              <w:right w:val="single" w:sz="4" w:space="0" w:color="auto"/>
            </w:tcBorders>
          </w:tcPr>
          <w:p w14:paraId="31CFECBA" w14:textId="77777777" w:rsidR="00AD7DA9" w:rsidRPr="00352742" w:rsidRDefault="00AD7DA9" w:rsidP="00784E07">
            <w:pPr>
              <w:widowControl w:val="0"/>
              <w:rPr>
                <w:snapToGrid w:val="0"/>
              </w:rPr>
            </w:pPr>
            <w:r w:rsidRPr="00352742">
              <w:rPr>
                <w:snapToGrid w:val="0"/>
              </w:rPr>
              <w:t>Почтовый адрес</w:t>
            </w:r>
          </w:p>
          <w:p w14:paraId="10B95FFC" w14:textId="77777777" w:rsidR="00AD7DA9" w:rsidRPr="00352742" w:rsidRDefault="00AD7DA9" w:rsidP="00784E07">
            <w:pPr>
              <w:widowControl w:val="0"/>
              <w:rPr>
                <w:snapToGrid w:val="0"/>
              </w:rPr>
            </w:pPr>
          </w:p>
        </w:tc>
        <w:tc>
          <w:tcPr>
            <w:tcW w:w="7178" w:type="dxa"/>
            <w:tcBorders>
              <w:top w:val="single" w:sz="4" w:space="0" w:color="auto"/>
              <w:left w:val="single" w:sz="4" w:space="0" w:color="auto"/>
              <w:bottom w:val="single" w:sz="4" w:space="0" w:color="auto"/>
              <w:right w:val="single" w:sz="4" w:space="0" w:color="auto"/>
            </w:tcBorders>
          </w:tcPr>
          <w:p w14:paraId="32A3F3CE" w14:textId="77777777" w:rsidR="00AD7DA9" w:rsidRPr="003A1C5E" w:rsidRDefault="00AD7DA9" w:rsidP="00784E07">
            <w:pPr>
              <w:widowControl w:val="0"/>
              <w:autoSpaceDE w:val="0"/>
              <w:autoSpaceDN w:val="0"/>
              <w:adjustRightInd w:val="0"/>
              <w:jc w:val="both"/>
            </w:pPr>
            <w:r w:rsidRPr="003A1C5E">
              <w:t xml:space="preserve">683031, </w:t>
            </w:r>
            <w:r w:rsidR="00804FFC" w:rsidRPr="003A1C5E">
              <w:t xml:space="preserve">Камчатский, край, </w:t>
            </w:r>
            <w:r w:rsidRPr="003A1C5E">
              <w:t>г. Петропавловск-Камчатский, пр</w:t>
            </w:r>
            <w:r w:rsidR="00804FFC" w:rsidRPr="003A1C5E">
              <w:t>-т</w:t>
            </w:r>
            <w:r w:rsidRPr="003A1C5E">
              <w:t xml:space="preserve"> К</w:t>
            </w:r>
            <w:r w:rsidR="00804FFC" w:rsidRPr="003A1C5E">
              <w:t>арла</w:t>
            </w:r>
            <w:r w:rsidRPr="003A1C5E">
              <w:t xml:space="preserve"> Маркса, </w:t>
            </w:r>
            <w:r w:rsidR="00804FFC" w:rsidRPr="003A1C5E">
              <w:t xml:space="preserve">д. </w:t>
            </w:r>
            <w:r w:rsidRPr="003A1C5E">
              <w:t>23</w:t>
            </w:r>
          </w:p>
        </w:tc>
      </w:tr>
      <w:tr w:rsidR="00AD7DA9" w14:paraId="1E5F0604" w14:textId="77777777" w:rsidTr="002101DC">
        <w:tc>
          <w:tcPr>
            <w:tcW w:w="880" w:type="dxa"/>
            <w:tcBorders>
              <w:top w:val="single" w:sz="4" w:space="0" w:color="auto"/>
              <w:left w:val="single" w:sz="4" w:space="0" w:color="auto"/>
              <w:bottom w:val="single" w:sz="4" w:space="0" w:color="auto"/>
              <w:right w:val="single" w:sz="4" w:space="0" w:color="auto"/>
            </w:tcBorders>
          </w:tcPr>
          <w:p w14:paraId="0FCFF4AA" w14:textId="77777777" w:rsidR="00AD7DA9" w:rsidRPr="00352742" w:rsidRDefault="00AD7DA9" w:rsidP="00784E07">
            <w:pPr>
              <w:autoSpaceDE w:val="0"/>
              <w:autoSpaceDN w:val="0"/>
              <w:adjustRightInd w:val="0"/>
              <w:jc w:val="center"/>
              <w:rPr>
                <w:snapToGrid w:val="0"/>
              </w:rPr>
            </w:pPr>
            <w:r w:rsidRPr="00352742">
              <w:rPr>
                <w:snapToGrid w:val="0"/>
              </w:rPr>
              <w:t>3</w:t>
            </w:r>
          </w:p>
        </w:tc>
        <w:tc>
          <w:tcPr>
            <w:tcW w:w="1842" w:type="dxa"/>
            <w:tcBorders>
              <w:top w:val="single" w:sz="4" w:space="0" w:color="auto"/>
              <w:left w:val="single" w:sz="4" w:space="0" w:color="auto"/>
              <w:bottom w:val="single" w:sz="4" w:space="0" w:color="auto"/>
              <w:right w:val="single" w:sz="4" w:space="0" w:color="auto"/>
            </w:tcBorders>
          </w:tcPr>
          <w:p w14:paraId="37E9CCE3" w14:textId="77777777" w:rsidR="00AD7DA9" w:rsidRPr="00352742" w:rsidRDefault="00AD7DA9" w:rsidP="00784E07">
            <w:pPr>
              <w:widowControl w:val="0"/>
              <w:rPr>
                <w:snapToGrid w:val="0"/>
              </w:rPr>
            </w:pPr>
            <w:r w:rsidRPr="00352742">
              <w:rPr>
                <w:snapToGrid w:val="0"/>
              </w:rPr>
              <w:t>Адрес электронной почты</w:t>
            </w:r>
          </w:p>
        </w:tc>
        <w:tc>
          <w:tcPr>
            <w:tcW w:w="7178" w:type="dxa"/>
            <w:tcBorders>
              <w:top w:val="single" w:sz="4" w:space="0" w:color="auto"/>
              <w:left w:val="single" w:sz="4" w:space="0" w:color="auto"/>
              <w:bottom w:val="single" w:sz="4" w:space="0" w:color="auto"/>
              <w:right w:val="single" w:sz="4" w:space="0" w:color="auto"/>
            </w:tcBorders>
          </w:tcPr>
          <w:p w14:paraId="1F6603F9" w14:textId="77777777" w:rsidR="00AD7DA9" w:rsidRPr="003A1C5E" w:rsidRDefault="00726D8C" w:rsidP="002101DC">
            <w:hyperlink r:id="rId5" w:history="1">
              <w:r w:rsidR="002101DC" w:rsidRPr="003161FC">
                <w:rPr>
                  <w:rStyle w:val="a3"/>
                </w:rPr>
                <w:t>info@kamfond.ru</w:t>
              </w:r>
            </w:hyperlink>
            <w:r w:rsidR="00AD7DA9" w:rsidRPr="003A1C5E">
              <w:rPr>
                <w:rStyle w:val="a3"/>
                <w:color w:val="auto"/>
                <w:u w:val="none"/>
              </w:rPr>
              <w:t xml:space="preserve"> </w:t>
            </w:r>
          </w:p>
          <w:p w14:paraId="27B32354" w14:textId="77777777" w:rsidR="00AD7DA9" w:rsidRPr="003A1C5E" w:rsidRDefault="00AD7DA9" w:rsidP="00784E07">
            <w:pPr>
              <w:widowControl w:val="0"/>
              <w:autoSpaceDE w:val="0"/>
              <w:autoSpaceDN w:val="0"/>
              <w:adjustRightInd w:val="0"/>
              <w:jc w:val="both"/>
            </w:pPr>
          </w:p>
        </w:tc>
      </w:tr>
      <w:tr w:rsidR="00AD7DA9" w14:paraId="5D71EAE2" w14:textId="77777777" w:rsidTr="002101DC">
        <w:tc>
          <w:tcPr>
            <w:tcW w:w="880" w:type="dxa"/>
            <w:tcBorders>
              <w:top w:val="single" w:sz="4" w:space="0" w:color="auto"/>
              <w:left w:val="single" w:sz="4" w:space="0" w:color="auto"/>
              <w:bottom w:val="single" w:sz="4" w:space="0" w:color="auto"/>
              <w:right w:val="single" w:sz="4" w:space="0" w:color="auto"/>
            </w:tcBorders>
          </w:tcPr>
          <w:p w14:paraId="3E767948" w14:textId="77777777" w:rsidR="00AD7DA9" w:rsidRPr="00352742" w:rsidRDefault="00AD7DA9" w:rsidP="00784E07">
            <w:pPr>
              <w:autoSpaceDE w:val="0"/>
              <w:autoSpaceDN w:val="0"/>
              <w:adjustRightInd w:val="0"/>
              <w:jc w:val="center"/>
              <w:rPr>
                <w:snapToGrid w:val="0"/>
              </w:rPr>
            </w:pPr>
            <w:r w:rsidRPr="00352742">
              <w:rPr>
                <w:snapToGrid w:val="0"/>
              </w:rPr>
              <w:t>4</w:t>
            </w:r>
          </w:p>
        </w:tc>
        <w:tc>
          <w:tcPr>
            <w:tcW w:w="1842" w:type="dxa"/>
            <w:tcBorders>
              <w:top w:val="single" w:sz="4" w:space="0" w:color="auto"/>
              <w:left w:val="single" w:sz="4" w:space="0" w:color="auto"/>
              <w:bottom w:val="single" w:sz="4" w:space="0" w:color="auto"/>
              <w:right w:val="single" w:sz="4" w:space="0" w:color="auto"/>
            </w:tcBorders>
          </w:tcPr>
          <w:p w14:paraId="621790FA" w14:textId="77777777" w:rsidR="00AD7DA9" w:rsidRPr="00352742" w:rsidRDefault="00AD7DA9" w:rsidP="00784E07">
            <w:pPr>
              <w:widowControl w:val="0"/>
              <w:rPr>
                <w:snapToGrid w:val="0"/>
              </w:rPr>
            </w:pPr>
            <w:r w:rsidRPr="00352742">
              <w:rPr>
                <w:snapToGrid w:val="0"/>
              </w:rPr>
              <w:t>Контактный телефон</w:t>
            </w:r>
          </w:p>
        </w:tc>
        <w:tc>
          <w:tcPr>
            <w:tcW w:w="7178" w:type="dxa"/>
            <w:tcBorders>
              <w:top w:val="single" w:sz="4" w:space="0" w:color="auto"/>
              <w:left w:val="single" w:sz="4" w:space="0" w:color="auto"/>
              <w:bottom w:val="single" w:sz="4" w:space="0" w:color="auto"/>
              <w:right w:val="single" w:sz="4" w:space="0" w:color="auto"/>
            </w:tcBorders>
          </w:tcPr>
          <w:p w14:paraId="3D21AE26" w14:textId="44009915" w:rsidR="00AD7DA9" w:rsidRPr="003A1C5E" w:rsidRDefault="00AD7DA9" w:rsidP="00784E07">
            <w:pPr>
              <w:widowControl w:val="0"/>
              <w:autoSpaceDE w:val="0"/>
              <w:autoSpaceDN w:val="0"/>
              <w:adjustRightInd w:val="0"/>
              <w:jc w:val="both"/>
            </w:pPr>
            <w:r w:rsidRPr="003A1C5E">
              <w:t>8</w:t>
            </w:r>
            <w:r w:rsidR="00804FFC" w:rsidRPr="003A1C5E">
              <w:t xml:space="preserve"> </w:t>
            </w:r>
            <w:r w:rsidRPr="003A1C5E">
              <w:t>(415-2) 215-115</w:t>
            </w:r>
          </w:p>
          <w:p w14:paraId="5022ADC9" w14:textId="77777777" w:rsidR="00AD7DA9" w:rsidRPr="003A1C5E" w:rsidRDefault="00AD7DA9" w:rsidP="00784E07">
            <w:pPr>
              <w:widowControl w:val="0"/>
              <w:autoSpaceDE w:val="0"/>
              <w:autoSpaceDN w:val="0"/>
              <w:adjustRightInd w:val="0"/>
              <w:jc w:val="both"/>
            </w:pPr>
          </w:p>
        </w:tc>
      </w:tr>
      <w:tr w:rsidR="00AD7DA9" w14:paraId="59156230" w14:textId="77777777" w:rsidTr="002101DC">
        <w:tc>
          <w:tcPr>
            <w:tcW w:w="880" w:type="dxa"/>
            <w:tcBorders>
              <w:top w:val="single" w:sz="4" w:space="0" w:color="auto"/>
              <w:left w:val="single" w:sz="4" w:space="0" w:color="auto"/>
              <w:bottom w:val="single" w:sz="4" w:space="0" w:color="auto"/>
              <w:right w:val="single" w:sz="4" w:space="0" w:color="auto"/>
            </w:tcBorders>
          </w:tcPr>
          <w:p w14:paraId="764CCB65" w14:textId="77777777" w:rsidR="00AD7DA9" w:rsidRPr="00352742" w:rsidRDefault="00AD7DA9" w:rsidP="00784E07">
            <w:pPr>
              <w:autoSpaceDE w:val="0"/>
              <w:autoSpaceDN w:val="0"/>
              <w:adjustRightInd w:val="0"/>
              <w:jc w:val="center"/>
              <w:rPr>
                <w:snapToGrid w:val="0"/>
              </w:rPr>
            </w:pPr>
            <w:r w:rsidRPr="00352742">
              <w:rPr>
                <w:snapToGrid w:val="0"/>
              </w:rPr>
              <w:t>5</w:t>
            </w:r>
          </w:p>
        </w:tc>
        <w:tc>
          <w:tcPr>
            <w:tcW w:w="1842" w:type="dxa"/>
            <w:tcBorders>
              <w:top w:val="single" w:sz="4" w:space="0" w:color="auto"/>
              <w:left w:val="single" w:sz="4" w:space="0" w:color="auto"/>
              <w:bottom w:val="single" w:sz="4" w:space="0" w:color="auto"/>
              <w:right w:val="single" w:sz="4" w:space="0" w:color="auto"/>
            </w:tcBorders>
          </w:tcPr>
          <w:p w14:paraId="7B23E616" w14:textId="77777777" w:rsidR="00AD7DA9" w:rsidRPr="00352742" w:rsidRDefault="00AD7DA9" w:rsidP="00784E07">
            <w:pPr>
              <w:widowControl w:val="0"/>
              <w:rPr>
                <w:snapToGrid w:val="0"/>
              </w:rPr>
            </w:pPr>
            <w:r w:rsidRPr="00352742">
              <w:rPr>
                <w:snapToGrid w:val="0"/>
              </w:rPr>
              <w:t>Ответственное лицо</w:t>
            </w:r>
          </w:p>
        </w:tc>
        <w:tc>
          <w:tcPr>
            <w:tcW w:w="7178" w:type="dxa"/>
            <w:tcBorders>
              <w:top w:val="single" w:sz="4" w:space="0" w:color="auto"/>
              <w:left w:val="single" w:sz="4" w:space="0" w:color="auto"/>
              <w:bottom w:val="single" w:sz="4" w:space="0" w:color="auto"/>
              <w:right w:val="single" w:sz="4" w:space="0" w:color="auto"/>
            </w:tcBorders>
          </w:tcPr>
          <w:p w14:paraId="2B3ED8B3" w14:textId="37C5F1E5" w:rsidR="00AD7DA9" w:rsidRPr="003A1C5E" w:rsidRDefault="00245578" w:rsidP="00784E07">
            <w:pPr>
              <w:widowControl w:val="0"/>
              <w:autoSpaceDE w:val="0"/>
              <w:autoSpaceDN w:val="0"/>
              <w:adjustRightInd w:val="0"/>
              <w:jc w:val="both"/>
            </w:pPr>
            <w:r>
              <w:t>Желтухина Вера Юрьевна</w:t>
            </w:r>
          </w:p>
          <w:p w14:paraId="250C0480" w14:textId="77777777" w:rsidR="00AD7DA9" w:rsidRPr="003A1C5E" w:rsidRDefault="00AD7DA9" w:rsidP="00784E07">
            <w:pPr>
              <w:widowControl w:val="0"/>
              <w:autoSpaceDE w:val="0"/>
              <w:autoSpaceDN w:val="0"/>
              <w:adjustRightInd w:val="0"/>
              <w:jc w:val="both"/>
            </w:pPr>
          </w:p>
        </w:tc>
      </w:tr>
      <w:tr w:rsidR="00AD7DA9" w14:paraId="550036F2" w14:textId="77777777" w:rsidTr="002101DC">
        <w:trPr>
          <w:trHeight w:val="439"/>
        </w:trPr>
        <w:tc>
          <w:tcPr>
            <w:tcW w:w="880" w:type="dxa"/>
            <w:tcBorders>
              <w:top w:val="single" w:sz="4" w:space="0" w:color="auto"/>
              <w:left w:val="single" w:sz="4" w:space="0" w:color="auto"/>
              <w:bottom w:val="single" w:sz="4" w:space="0" w:color="auto"/>
              <w:right w:val="single" w:sz="4" w:space="0" w:color="auto"/>
            </w:tcBorders>
          </w:tcPr>
          <w:p w14:paraId="2464B46A" w14:textId="77777777" w:rsidR="00AD7DA9" w:rsidRPr="00352742" w:rsidRDefault="00AD7DA9" w:rsidP="00784E07">
            <w:pPr>
              <w:autoSpaceDE w:val="0"/>
              <w:autoSpaceDN w:val="0"/>
              <w:adjustRightInd w:val="0"/>
              <w:jc w:val="center"/>
              <w:rPr>
                <w:snapToGrid w:val="0"/>
                <w:lang w:val="en-US"/>
              </w:rPr>
            </w:pPr>
            <w:r w:rsidRPr="00352742">
              <w:rPr>
                <w:snapToGrid w:val="0"/>
              </w:rPr>
              <w:t>6</w:t>
            </w:r>
          </w:p>
        </w:tc>
        <w:tc>
          <w:tcPr>
            <w:tcW w:w="1842" w:type="dxa"/>
            <w:tcBorders>
              <w:top w:val="single" w:sz="4" w:space="0" w:color="auto"/>
              <w:left w:val="single" w:sz="4" w:space="0" w:color="auto"/>
              <w:bottom w:val="single" w:sz="4" w:space="0" w:color="auto"/>
              <w:right w:val="single" w:sz="4" w:space="0" w:color="auto"/>
            </w:tcBorders>
            <w:hideMark/>
          </w:tcPr>
          <w:p w14:paraId="466A0C57" w14:textId="77777777" w:rsidR="00AD7DA9" w:rsidRPr="00352742" w:rsidRDefault="00AD7DA9" w:rsidP="00784E07">
            <w:pPr>
              <w:rPr>
                <w:snapToGrid w:val="0"/>
              </w:rPr>
            </w:pPr>
            <w:r w:rsidRPr="00352742">
              <w:rPr>
                <w:snapToGrid w:val="0"/>
              </w:rPr>
              <w:t xml:space="preserve">Форма </w:t>
            </w:r>
            <w:r w:rsidR="00A350C5" w:rsidRPr="00352742">
              <w:rPr>
                <w:snapToGrid w:val="0"/>
              </w:rPr>
              <w:t>проведения конкурса</w:t>
            </w:r>
          </w:p>
        </w:tc>
        <w:tc>
          <w:tcPr>
            <w:tcW w:w="7178" w:type="dxa"/>
            <w:tcBorders>
              <w:top w:val="single" w:sz="4" w:space="0" w:color="auto"/>
              <w:left w:val="single" w:sz="4" w:space="0" w:color="auto"/>
              <w:bottom w:val="single" w:sz="4" w:space="0" w:color="auto"/>
              <w:right w:val="single" w:sz="4" w:space="0" w:color="auto"/>
            </w:tcBorders>
            <w:hideMark/>
          </w:tcPr>
          <w:p w14:paraId="6D684A88" w14:textId="789D422C" w:rsidR="00AD7DA9" w:rsidRPr="003A1C5E" w:rsidRDefault="00AD7DA9" w:rsidP="00784E07">
            <w:pPr>
              <w:jc w:val="both"/>
              <w:rPr>
                <w:snapToGrid w:val="0"/>
              </w:rPr>
            </w:pPr>
            <w:r w:rsidRPr="003A1C5E">
              <w:t>Открытый конкурс</w:t>
            </w:r>
          </w:p>
        </w:tc>
      </w:tr>
      <w:tr w:rsidR="005A20C4" w14:paraId="28A9B82E" w14:textId="77777777" w:rsidTr="002101DC">
        <w:trPr>
          <w:trHeight w:val="439"/>
        </w:trPr>
        <w:tc>
          <w:tcPr>
            <w:tcW w:w="880" w:type="dxa"/>
            <w:tcBorders>
              <w:top w:val="single" w:sz="4" w:space="0" w:color="auto"/>
              <w:left w:val="single" w:sz="4" w:space="0" w:color="auto"/>
              <w:bottom w:val="single" w:sz="4" w:space="0" w:color="auto"/>
              <w:right w:val="single" w:sz="4" w:space="0" w:color="auto"/>
            </w:tcBorders>
          </w:tcPr>
          <w:p w14:paraId="0448BF5B" w14:textId="77777777" w:rsidR="005A20C4" w:rsidRPr="00352742" w:rsidRDefault="005A20C4" w:rsidP="005A20C4">
            <w:pPr>
              <w:autoSpaceDE w:val="0"/>
              <w:autoSpaceDN w:val="0"/>
              <w:adjustRightInd w:val="0"/>
              <w:jc w:val="center"/>
              <w:rPr>
                <w:snapToGrid w:val="0"/>
              </w:rPr>
            </w:pPr>
            <w:r>
              <w:rPr>
                <w:snapToGrid w:val="0"/>
              </w:rPr>
              <w:t>7</w:t>
            </w:r>
          </w:p>
        </w:tc>
        <w:tc>
          <w:tcPr>
            <w:tcW w:w="1842" w:type="dxa"/>
            <w:tcBorders>
              <w:top w:val="single" w:sz="4" w:space="0" w:color="auto"/>
              <w:left w:val="single" w:sz="4" w:space="0" w:color="auto"/>
              <w:bottom w:val="single" w:sz="4" w:space="0" w:color="auto"/>
              <w:right w:val="single" w:sz="4" w:space="0" w:color="auto"/>
            </w:tcBorders>
          </w:tcPr>
          <w:p w14:paraId="75E1A693" w14:textId="77777777" w:rsidR="005A20C4" w:rsidRPr="00726D8C" w:rsidRDefault="005A20C4" w:rsidP="005A20C4">
            <w:pPr>
              <w:rPr>
                <w:snapToGrid w:val="0"/>
              </w:rPr>
            </w:pPr>
            <w:r w:rsidRPr="00726D8C">
              <w:rPr>
                <w:snapToGrid w:val="0"/>
              </w:rPr>
              <w:t>Предмет открытого конкурса</w:t>
            </w:r>
          </w:p>
        </w:tc>
        <w:tc>
          <w:tcPr>
            <w:tcW w:w="7178" w:type="dxa"/>
            <w:tcBorders>
              <w:top w:val="single" w:sz="4" w:space="0" w:color="auto"/>
              <w:left w:val="single" w:sz="4" w:space="0" w:color="auto"/>
              <w:bottom w:val="single" w:sz="4" w:space="0" w:color="auto"/>
              <w:right w:val="single" w:sz="4" w:space="0" w:color="auto"/>
            </w:tcBorders>
          </w:tcPr>
          <w:p w14:paraId="6CC04F29" w14:textId="44E02A79" w:rsidR="005A20C4" w:rsidRPr="00726D8C" w:rsidRDefault="005A20C4" w:rsidP="005A20C4">
            <w:pPr>
              <w:jc w:val="both"/>
            </w:pPr>
            <w:r w:rsidRPr="00726D8C">
              <w:t xml:space="preserve">Отбор аудиторской организации для проведения аудита бухгалтерской (финансовой) отчетности Фонда </w:t>
            </w:r>
            <w:r w:rsidR="00245578" w:rsidRPr="00726D8C">
              <w:t>за 2023, 2024, 2025 годы</w:t>
            </w:r>
            <w:r w:rsidR="00726D8C">
              <w:t>.</w:t>
            </w:r>
          </w:p>
        </w:tc>
      </w:tr>
      <w:tr w:rsidR="005A20C4" w14:paraId="03BEE161" w14:textId="77777777" w:rsidTr="002101DC">
        <w:trPr>
          <w:trHeight w:val="439"/>
        </w:trPr>
        <w:tc>
          <w:tcPr>
            <w:tcW w:w="880" w:type="dxa"/>
            <w:tcBorders>
              <w:top w:val="single" w:sz="4" w:space="0" w:color="auto"/>
              <w:left w:val="single" w:sz="4" w:space="0" w:color="auto"/>
              <w:bottom w:val="single" w:sz="4" w:space="0" w:color="auto"/>
              <w:right w:val="single" w:sz="4" w:space="0" w:color="auto"/>
            </w:tcBorders>
          </w:tcPr>
          <w:p w14:paraId="120B7FED" w14:textId="77777777" w:rsidR="005A20C4" w:rsidRPr="00352742" w:rsidRDefault="005A20C4" w:rsidP="005A20C4">
            <w:pPr>
              <w:autoSpaceDE w:val="0"/>
              <w:autoSpaceDN w:val="0"/>
              <w:adjustRightInd w:val="0"/>
              <w:jc w:val="center"/>
              <w:rPr>
                <w:snapToGrid w:val="0"/>
              </w:rPr>
            </w:pPr>
            <w:r>
              <w:rPr>
                <w:snapToGrid w:val="0"/>
              </w:rPr>
              <w:t>8</w:t>
            </w:r>
          </w:p>
        </w:tc>
        <w:tc>
          <w:tcPr>
            <w:tcW w:w="1842" w:type="dxa"/>
            <w:tcBorders>
              <w:top w:val="single" w:sz="4" w:space="0" w:color="auto"/>
              <w:left w:val="single" w:sz="4" w:space="0" w:color="auto"/>
              <w:bottom w:val="single" w:sz="4" w:space="0" w:color="auto"/>
              <w:right w:val="single" w:sz="4" w:space="0" w:color="auto"/>
            </w:tcBorders>
          </w:tcPr>
          <w:p w14:paraId="5E3757F3" w14:textId="0A7C5954" w:rsidR="005A20C4" w:rsidRPr="00726D8C" w:rsidRDefault="005A20C4" w:rsidP="005A20C4">
            <w:pPr>
              <w:rPr>
                <w:snapToGrid w:val="0"/>
              </w:rPr>
            </w:pPr>
            <w:r w:rsidRPr="00726D8C">
              <w:rPr>
                <w:bCs/>
                <w:snapToGrid w:val="0"/>
              </w:rPr>
              <w:t xml:space="preserve">Начальная (максимальная) цена проведения аудита </w:t>
            </w:r>
            <w:r w:rsidRPr="00726D8C">
              <w:t xml:space="preserve">бухгалтерской (финансовой) отчетности Фонда за 2023 </w:t>
            </w:r>
            <w:r w:rsidR="00245578" w:rsidRPr="00726D8C">
              <w:t>2024, 2025 годы</w:t>
            </w:r>
            <w:r w:rsidRPr="00726D8C">
              <w:t xml:space="preserve"> (далее – Услуга)</w:t>
            </w:r>
          </w:p>
        </w:tc>
        <w:tc>
          <w:tcPr>
            <w:tcW w:w="7178" w:type="dxa"/>
            <w:tcBorders>
              <w:top w:val="single" w:sz="4" w:space="0" w:color="auto"/>
              <w:left w:val="single" w:sz="4" w:space="0" w:color="auto"/>
              <w:bottom w:val="single" w:sz="4" w:space="0" w:color="auto"/>
              <w:right w:val="single" w:sz="4" w:space="0" w:color="auto"/>
            </w:tcBorders>
          </w:tcPr>
          <w:p w14:paraId="0C35B71F" w14:textId="1484C758" w:rsidR="005A20C4" w:rsidRPr="00726D8C" w:rsidRDefault="00245578" w:rsidP="005A20C4">
            <w:pPr>
              <w:jc w:val="both"/>
            </w:pPr>
            <w:r w:rsidRPr="00726D8C">
              <w:t>600 000,00 (Шестьсот тысяч) рублей 00 копеек из расчета не более 200 000,00 (Двухсот тысяч) рублей 00 копеек за каждый проверяемый период</w:t>
            </w:r>
            <w:r w:rsidR="00726D8C">
              <w:t>.</w:t>
            </w:r>
            <w:r w:rsidRPr="00726D8C">
              <w:t xml:space="preserve"> </w:t>
            </w:r>
          </w:p>
        </w:tc>
      </w:tr>
      <w:tr w:rsidR="005A20C4" w14:paraId="3AC95428" w14:textId="77777777" w:rsidTr="002101DC">
        <w:trPr>
          <w:trHeight w:val="439"/>
        </w:trPr>
        <w:tc>
          <w:tcPr>
            <w:tcW w:w="880" w:type="dxa"/>
            <w:tcBorders>
              <w:top w:val="single" w:sz="4" w:space="0" w:color="auto"/>
              <w:left w:val="single" w:sz="4" w:space="0" w:color="auto"/>
              <w:bottom w:val="single" w:sz="4" w:space="0" w:color="auto"/>
              <w:right w:val="single" w:sz="4" w:space="0" w:color="auto"/>
            </w:tcBorders>
          </w:tcPr>
          <w:p w14:paraId="4CD8F3CB" w14:textId="77777777" w:rsidR="005A20C4" w:rsidRPr="00352742" w:rsidRDefault="005A20C4" w:rsidP="005A20C4">
            <w:pPr>
              <w:autoSpaceDE w:val="0"/>
              <w:autoSpaceDN w:val="0"/>
              <w:adjustRightInd w:val="0"/>
              <w:jc w:val="center"/>
              <w:rPr>
                <w:snapToGrid w:val="0"/>
              </w:rPr>
            </w:pPr>
            <w:r>
              <w:rPr>
                <w:snapToGrid w:val="0"/>
              </w:rPr>
              <w:t>9</w:t>
            </w:r>
          </w:p>
        </w:tc>
        <w:tc>
          <w:tcPr>
            <w:tcW w:w="1842" w:type="dxa"/>
            <w:tcBorders>
              <w:top w:val="single" w:sz="4" w:space="0" w:color="auto"/>
              <w:left w:val="single" w:sz="4" w:space="0" w:color="auto"/>
              <w:bottom w:val="single" w:sz="4" w:space="0" w:color="auto"/>
              <w:right w:val="single" w:sz="4" w:space="0" w:color="auto"/>
            </w:tcBorders>
          </w:tcPr>
          <w:p w14:paraId="3A0D9D5F" w14:textId="77777777" w:rsidR="005A20C4" w:rsidRPr="00352742" w:rsidRDefault="005A20C4" w:rsidP="005A20C4">
            <w:pPr>
              <w:rPr>
                <w:snapToGrid w:val="0"/>
              </w:rPr>
            </w:pPr>
            <w:r w:rsidRPr="003A1C5E">
              <w:rPr>
                <w:bCs/>
              </w:rPr>
              <w:t>Порядок формирования цены Услуги (с учетом или без учета расходов на перевозку, страхование, налогов и других платежей)</w:t>
            </w:r>
          </w:p>
        </w:tc>
        <w:tc>
          <w:tcPr>
            <w:tcW w:w="7178" w:type="dxa"/>
            <w:tcBorders>
              <w:top w:val="single" w:sz="4" w:space="0" w:color="auto"/>
              <w:left w:val="single" w:sz="4" w:space="0" w:color="auto"/>
              <w:bottom w:val="single" w:sz="4" w:space="0" w:color="auto"/>
              <w:right w:val="single" w:sz="4" w:space="0" w:color="auto"/>
            </w:tcBorders>
          </w:tcPr>
          <w:p w14:paraId="375B0B32" w14:textId="3FF1B35B" w:rsidR="005A20C4" w:rsidRPr="003A1C5E" w:rsidRDefault="005A20C4" w:rsidP="005A20C4">
            <w:pPr>
              <w:jc w:val="both"/>
            </w:pPr>
            <w:r w:rsidRPr="00352742">
              <w:rPr>
                <w:bCs/>
              </w:rPr>
              <w:t xml:space="preserve">Цена Услуги включает </w:t>
            </w:r>
            <w:r w:rsidRPr="00352742">
              <w:t>в себя все расходы, связанные с оказанием Услуги, в том числе командировочные транспортные расходы, налоги, сборы и другие платеж</w:t>
            </w:r>
            <w:r>
              <w:t>и</w:t>
            </w:r>
            <w:r w:rsidR="00726D8C">
              <w:t>.</w:t>
            </w:r>
          </w:p>
        </w:tc>
      </w:tr>
      <w:tr w:rsidR="00AD7DA9" w14:paraId="5379F469" w14:textId="77777777" w:rsidTr="002101DC">
        <w:trPr>
          <w:trHeight w:val="1238"/>
        </w:trPr>
        <w:tc>
          <w:tcPr>
            <w:tcW w:w="880" w:type="dxa"/>
            <w:tcBorders>
              <w:top w:val="single" w:sz="4" w:space="0" w:color="auto"/>
              <w:left w:val="single" w:sz="4" w:space="0" w:color="auto"/>
              <w:bottom w:val="single" w:sz="4" w:space="0" w:color="auto"/>
              <w:right w:val="single" w:sz="4" w:space="0" w:color="auto"/>
            </w:tcBorders>
          </w:tcPr>
          <w:p w14:paraId="58AE57F3" w14:textId="77777777" w:rsidR="00AD7DA9" w:rsidRPr="00352742" w:rsidRDefault="005A20C4" w:rsidP="00784E07">
            <w:pPr>
              <w:autoSpaceDE w:val="0"/>
              <w:autoSpaceDN w:val="0"/>
              <w:adjustRightInd w:val="0"/>
              <w:jc w:val="center"/>
              <w:rPr>
                <w:snapToGrid w:val="0"/>
              </w:rPr>
            </w:pPr>
            <w:r>
              <w:rPr>
                <w:snapToGrid w:val="0"/>
              </w:rPr>
              <w:t>10</w:t>
            </w:r>
          </w:p>
        </w:tc>
        <w:tc>
          <w:tcPr>
            <w:tcW w:w="1842" w:type="dxa"/>
            <w:tcBorders>
              <w:top w:val="single" w:sz="4" w:space="0" w:color="auto"/>
              <w:left w:val="single" w:sz="4" w:space="0" w:color="auto"/>
              <w:bottom w:val="single" w:sz="4" w:space="0" w:color="auto"/>
              <w:right w:val="single" w:sz="4" w:space="0" w:color="auto"/>
            </w:tcBorders>
          </w:tcPr>
          <w:p w14:paraId="3370E1D1" w14:textId="77777777" w:rsidR="00AD7DA9" w:rsidRPr="00352742" w:rsidRDefault="00AD7DA9" w:rsidP="00784E07">
            <w:pPr>
              <w:rPr>
                <w:snapToGrid w:val="0"/>
              </w:rPr>
            </w:pPr>
            <w:r w:rsidRPr="00352742">
              <w:rPr>
                <w:snapToGrid w:val="0"/>
              </w:rPr>
              <w:t xml:space="preserve">Место </w:t>
            </w:r>
            <w:r w:rsidR="000B1094">
              <w:rPr>
                <w:snapToGrid w:val="0"/>
              </w:rPr>
              <w:t xml:space="preserve">и время </w:t>
            </w:r>
            <w:r w:rsidRPr="00352742">
              <w:rPr>
                <w:snapToGrid w:val="0"/>
              </w:rPr>
              <w:t>подачи Заявок</w:t>
            </w:r>
          </w:p>
        </w:tc>
        <w:tc>
          <w:tcPr>
            <w:tcW w:w="7178" w:type="dxa"/>
            <w:tcBorders>
              <w:top w:val="single" w:sz="4" w:space="0" w:color="auto"/>
              <w:left w:val="single" w:sz="4" w:space="0" w:color="auto"/>
              <w:bottom w:val="single" w:sz="4" w:space="0" w:color="auto"/>
              <w:right w:val="single" w:sz="4" w:space="0" w:color="auto"/>
            </w:tcBorders>
          </w:tcPr>
          <w:p w14:paraId="0C93CEEB" w14:textId="77777777" w:rsidR="00AD7DA9" w:rsidRPr="003A1C5E" w:rsidRDefault="00804FFC" w:rsidP="00784E07">
            <w:pPr>
              <w:widowControl w:val="0"/>
              <w:autoSpaceDE w:val="0"/>
              <w:autoSpaceDN w:val="0"/>
              <w:adjustRightInd w:val="0"/>
              <w:jc w:val="both"/>
            </w:pPr>
            <w:r w:rsidRPr="003A1C5E">
              <w:t>683031, Камчатский, край, г. Петропавловск-Камчатский, пр-т Карла Маркса, д. 23</w:t>
            </w:r>
            <w:r w:rsidR="00AD7DA9" w:rsidRPr="003A1C5E">
              <w:t>, оф. 413 в рабочее время Фонда.</w:t>
            </w:r>
          </w:p>
          <w:p w14:paraId="1D75C57F" w14:textId="77777777" w:rsidR="00AD7DA9" w:rsidRPr="003A1C5E" w:rsidRDefault="00AD7DA9" w:rsidP="00784E07">
            <w:pPr>
              <w:widowControl w:val="0"/>
              <w:autoSpaceDE w:val="0"/>
              <w:autoSpaceDN w:val="0"/>
              <w:adjustRightInd w:val="0"/>
              <w:jc w:val="both"/>
            </w:pPr>
            <w:r w:rsidRPr="003A1C5E">
              <w:t>Рабочее время Фонда:</w:t>
            </w:r>
          </w:p>
          <w:p w14:paraId="4A264E7C" w14:textId="77777777" w:rsidR="00AD7DA9" w:rsidRPr="003A1C5E" w:rsidRDefault="00AD7DA9" w:rsidP="00784E07">
            <w:pPr>
              <w:widowControl w:val="0"/>
              <w:autoSpaceDE w:val="0"/>
              <w:autoSpaceDN w:val="0"/>
              <w:adjustRightInd w:val="0"/>
              <w:jc w:val="both"/>
            </w:pPr>
            <w:r w:rsidRPr="003A1C5E">
              <w:t>Понедельник – четверг</w:t>
            </w:r>
            <w:r w:rsidR="00804FFC" w:rsidRPr="003A1C5E">
              <w:t>:</w:t>
            </w:r>
            <w:r w:rsidRPr="003A1C5E">
              <w:t xml:space="preserve"> с 09 часов 00 минут до</w:t>
            </w:r>
            <w:r w:rsidR="00804FFC" w:rsidRPr="003A1C5E">
              <w:t xml:space="preserve"> 12 часов 00 минут и </w:t>
            </w:r>
            <w:r w:rsidR="00804FFC" w:rsidRPr="003A1C5E">
              <w:lastRenderedPageBreak/>
              <w:t>с</w:t>
            </w:r>
            <w:r w:rsidRPr="003A1C5E">
              <w:t xml:space="preserve"> </w:t>
            </w:r>
            <w:r w:rsidR="00804FFC" w:rsidRPr="003A1C5E">
              <w:t xml:space="preserve">13 часов 00 минут до </w:t>
            </w:r>
            <w:r w:rsidRPr="003A1C5E">
              <w:t>17 часов 30 минут.</w:t>
            </w:r>
          </w:p>
          <w:p w14:paraId="3A9DD179" w14:textId="77777777" w:rsidR="00AD7DA9" w:rsidRPr="003A1C5E" w:rsidRDefault="00AD7DA9" w:rsidP="00784E07">
            <w:pPr>
              <w:widowControl w:val="0"/>
              <w:autoSpaceDE w:val="0"/>
              <w:autoSpaceDN w:val="0"/>
              <w:adjustRightInd w:val="0"/>
              <w:jc w:val="both"/>
              <w:rPr>
                <w:snapToGrid w:val="0"/>
              </w:rPr>
            </w:pPr>
            <w:r w:rsidRPr="003A1C5E">
              <w:t>Пятница</w:t>
            </w:r>
            <w:r w:rsidR="003A1C5E" w:rsidRPr="003A1C5E">
              <w:t>:</w:t>
            </w:r>
            <w:r w:rsidRPr="003A1C5E">
              <w:t xml:space="preserve"> с 09 часов 00 минут </w:t>
            </w:r>
            <w:r w:rsidR="003A1C5E" w:rsidRPr="003A1C5E">
              <w:t xml:space="preserve">до 12 часов 00 минут и с 13 часов 00 минут до </w:t>
            </w:r>
            <w:r w:rsidRPr="003A1C5E">
              <w:t>16 часов 00 минут</w:t>
            </w:r>
            <w:r w:rsidR="003A1C5E" w:rsidRPr="003A1C5E">
              <w:t>.</w:t>
            </w:r>
          </w:p>
        </w:tc>
      </w:tr>
      <w:tr w:rsidR="00AD7DA9" w14:paraId="217525D5" w14:textId="77777777" w:rsidTr="002101DC">
        <w:trPr>
          <w:trHeight w:val="1238"/>
        </w:trPr>
        <w:tc>
          <w:tcPr>
            <w:tcW w:w="880" w:type="dxa"/>
            <w:tcBorders>
              <w:top w:val="single" w:sz="4" w:space="0" w:color="auto"/>
              <w:left w:val="single" w:sz="4" w:space="0" w:color="auto"/>
              <w:bottom w:val="single" w:sz="4" w:space="0" w:color="auto"/>
              <w:right w:val="single" w:sz="4" w:space="0" w:color="auto"/>
            </w:tcBorders>
          </w:tcPr>
          <w:p w14:paraId="08A237BD" w14:textId="77777777" w:rsidR="00AD7DA9" w:rsidRPr="00352742" w:rsidRDefault="005A20C4" w:rsidP="00784E07">
            <w:pPr>
              <w:autoSpaceDE w:val="0"/>
              <w:autoSpaceDN w:val="0"/>
              <w:adjustRightInd w:val="0"/>
              <w:jc w:val="center"/>
              <w:rPr>
                <w:snapToGrid w:val="0"/>
              </w:rPr>
            </w:pPr>
            <w:r>
              <w:rPr>
                <w:snapToGrid w:val="0"/>
              </w:rPr>
              <w:lastRenderedPageBreak/>
              <w:t>11</w:t>
            </w:r>
          </w:p>
        </w:tc>
        <w:tc>
          <w:tcPr>
            <w:tcW w:w="1842" w:type="dxa"/>
            <w:tcBorders>
              <w:top w:val="single" w:sz="4" w:space="0" w:color="auto"/>
              <w:left w:val="single" w:sz="4" w:space="0" w:color="auto"/>
              <w:bottom w:val="single" w:sz="4" w:space="0" w:color="auto"/>
              <w:right w:val="single" w:sz="4" w:space="0" w:color="auto"/>
            </w:tcBorders>
          </w:tcPr>
          <w:p w14:paraId="52410E19" w14:textId="77777777" w:rsidR="00AD7DA9" w:rsidRPr="00352742" w:rsidRDefault="00AD7DA9" w:rsidP="00784E07">
            <w:pPr>
              <w:rPr>
                <w:snapToGrid w:val="0"/>
              </w:rPr>
            </w:pPr>
            <w:r w:rsidRPr="00352742">
              <w:rPr>
                <w:snapToGrid w:val="0"/>
              </w:rPr>
              <w:t>Порядок подачи Заявок</w:t>
            </w:r>
          </w:p>
        </w:tc>
        <w:tc>
          <w:tcPr>
            <w:tcW w:w="7178" w:type="dxa"/>
            <w:tcBorders>
              <w:top w:val="single" w:sz="4" w:space="0" w:color="auto"/>
              <w:left w:val="single" w:sz="4" w:space="0" w:color="auto"/>
              <w:bottom w:val="single" w:sz="4" w:space="0" w:color="auto"/>
              <w:right w:val="single" w:sz="4" w:space="0" w:color="auto"/>
            </w:tcBorders>
          </w:tcPr>
          <w:p w14:paraId="24C6B704" w14:textId="77777777" w:rsidR="009556E6" w:rsidRPr="003A1C5E" w:rsidRDefault="009556E6" w:rsidP="00784E07">
            <w:pPr>
              <w:jc w:val="both"/>
            </w:pPr>
            <w:r w:rsidRPr="003A1C5E">
              <w:t xml:space="preserve">Для участия в Открытом конкурсе </w:t>
            </w:r>
            <w:r w:rsidR="000B1094">
              <w:t>аудиторская организация</w:t>
            </w:r>
            <w:r w:rsidRPr="003A1C5E">
              <w:t xml:space="preserve"> имеет право подать только одну Заявку.</w:t>
            </w:r>
          </w:p>
          <w:p w14:paraId="7667D770" w14:textId="77777777" w:rsidR="009556E6" w:rsidRPr="003A1C5E" w:rsidRDefault="009556E6" w:rsidP="00784E07">
            <w:pPr>
              <w:jc w:val="both"/>
            </w:pPr>
            <w:r w:rsidRPr="003A1C5E">
              <w:t xml:space="preserve">Заявка подается </w:t>
            </w:r>
            <w:r w:rsidR="00685BD2" w:rsidRPr="003A1C5E">
              <w:t xml:space="preserve">по адресу по адресу: 683031, г. Петропавловск-Камчатский, пр. К. Маркса, д. 23, оф.413 </w:t>
            </w:r>
            <w:r w:rsidRPr="003A1C5E">
              <w:t>в запечатанном конверте</w:t>
            </w:r>
            <w:r w:rsidR="00685BD2" w:rsidRPr="003A1C5E">
              <w:t xml:space="preserve"> </w:t>
            </w:r>
            <w:r w:rsidRPr="003A1C5E">
              <w:t>на котором должна быть указана следующая информация:</w:t>
            </w:r>
          </w:p>
          <w:p w14:paraId="08C0CC5E" w14:textId="77777777" w:rsidR="009556E6" w:rsidRPr="003A1C5E" w:rsidRDefault="009556E6" w:rsidP="00784E07">
            <w:pPr>
              <w:pStyle w:val="a4"/>
              <w:numPr>
                <w:ilvl w:val="3"/>
                <w:numId w:val="2"/>
              </w:numPr>
              <w:ind w:left="33" w:firstLine="0"/>
              <w:jc w:val="both"/>
            </w:pPr>
            <w:r w:rsidRPr="003A1C5E">
              <w:t>наименование Претендента и один из идентификационных признаков (ИНН, ОГРН);</w:t>
            </w:r>
          </w:p>
          <w:p w14:paraId="676CDC2E" w14:textId="77777777" w:rsidR="009556E6" w:rsidRPr="003A1C5E" w:rsidRDefault="009556E6" w:rsidP="00784E07">
            <w:pPr>
              <w:pStyle w:val="a4"/>
              <w:numPr>
                <w:ilvl w:val="3"/>
                <w:numId w:val="2"/>
              </w:numPr>
              <w:ind w:left="33" w:firstLine="0"/>
              <w:jc w:val="both"/>
            </w:pPr>
            <w:r w:rsidRPr="003A1C5E">
              <w:t>адрес Претендента;</w:t>
            </w:r>
          </w:p>
          <w:p w14:paraId="5647CD17" w14:textId="77777777" w:rsidR="009556E6" w:rsidRPr="003A1C5E" w:rsidRDefault="009556E6" w:rsidP="00784E07">
            <w:pPr>
              <w:pStyle w:val="a4"/>
              <w:numPr>
                <w:ilvl w:val="3"/>
                <w:numId w:val="2"/>
              </w:numPr>
              <w:ind w:left="33" w:firstLine="0"/>
              <w:jc w:val="both"/>
            </w:pPr>
            <w:r w:rsidRPr="003A1C5E">
              <w:t xml:space="preserve">наименование Открытого конкурса: </w:t>
            </w:r>
            <w:bookmarkStart w:id="0" w:name="_Hlk141975767"/>
            <w:r w:rsidRPr="003A1C5E">
              <w:t xml:space="preserve">«Открытый конкурс </w:t>
            </w:r>
            <w:r w:rsidRPr="003A1C5E">
              <w:rPr>
                <w:rStyle w:val="FontStyle13"/>
                <w:b w:val="0"/>
                <w:sz w:val="24"/>
                <w:szCs w:val="24"/>
              </w:rPr>
              <w:t>по отбору аудиторской организации для проведения аудита бухгалтерской (финансовой) отчетности</w:t>
            </w:r>
            <w:r w:rsidRPr="003A1C5E">
              <w:rPr>
                <w:b/>
              </w:rPr>
              <w:t xml:space="preserve"> </w:t>
            </w:r>
            <w:r w:rsidRPr="003A1C5E">
              <w:t xml:space="preserve">Микрокредитной компании Камчатский государственный фонд поддержки предпринимательства». </w:t>
            </w:r>
            <w:bookmarkEnd w:id="0"/>
          </w:p>
          <w:p w14:paraId="1B93D947" w14:textId="77777777" w:rsidR="009556E6" w:rsidRPr="003A1C5E" w:rsidRDefault="009556E6" w:rsidP="00784E07">
            <w:pPr>
              <w:jc w:val="both"/>
            </w:pPr>
            <w:r w:rsidRPr="003A1C5E">
              <w:t>Заявка должна содержать полный комплект обязательных документов, согласно Перечню, указанному в Приложении № 3 к Конкурсной документации;</w:t>
            </w:r>
          </w:p>
          <w:p w14:paraId="12033E2E" w14:textId="77777777" w:rsidR="00AD7DA9" w:rsidRPr="003A1C5E" w:rsidRDefault="009556E6" w:rsidP="00784E07">
            <w:pPr>
              <w:jc w:val="both"/>
            </w:pPr>
            <w:bookmarkStart w:id="1" w:name="пункт932"/>
            <w:bookmarkEnd w:id="1"/>
            <w:r w:rsidRPr="003A1C5E">
              <w:t>К Заявке прилагается опись документов по форме, указанной в Приложении № 5</w:t>
            </w:r>
            <w:r w:rsidR="00685BD2" w:rsidRPr="003A1C5E">
              <w:t xml:space="preserve"> Конкурсной документации.</w:t>
            </w:r>
          </w:p>
        </w:tc>
      </w:tr>
      <w:tr w:rsidR="00AD7DA9" w14:paraId="122D13AD" w14:textId="77777777" w:rsidTr="002101DC">
        <w:trPr>
          <w:trHeight w:val="578"/>
        </w:trPr>
        <w:tc>
          <w:tcPr>
            <w:tcW w:w="880" w:type="dxa"/>
            <w:tcBorders>
              <w:top w:val="single" w:sz="4" w:space="0" w:color="auto"/>
              <w:left w:val="single" w:sz="4" w:space="0" w:color="auto"/>
              <w:bottom w:val="single" w:sz="4" w:space="0" w:color="auto"/>
              <w:right w:val="single" w:sz="4" w:space="0" w:color="auto"/>
            </w:tcBorders>
          </w:tcPr>
          <w:p w14:paraId="26391BEC" w14:textId="77777777" w:rsidR="00AD7DA9" w:rsidRPr="00352742" w:rsidRDefault="005A20C4" w:rsidP="00784E07">
            <w:pPr>
              <w:autoSpaceDE w:val="0"/>
              <w:autoSpaceDN w:val="0"/>
              <w:adjustRightInd w:val="0"/>
              <w:jc w:val="center"/>
              <w:rPr>
                <w:snapToGrid w:val="0"/>
              </w:rPr>
            </w:pPr>
            <w:r>
              <w:rPr>
                <w:snapToGrid w:val="0"/>
              </w:rPr>
              <w:t>12</w:t>
            </w:r>
          </w:p>
        </w:tc>
        <w:tc>
          <w:tcPr>
            <w:tcW w:w="1842" w:type="dxa"/>
            <w:tcBorders>
              <w:top w:val="single" w:sz="4" w:space="0" w:color="auto"/>
              <w:left w:val="single" w:sz="4" w:space="0" w:color="auto"/>
              <w:bottom w:val="single" w:sz="4" w:space="0" w:color="auto"/>
              <w:right w:val="single" w:sz="4" w:space="0" w:color="auto"/>
            </w:tcBorders>
            <w:hideMark/>
          </w:tcPr>
          <w:p w14:paraId="77F0E168" w14:textId="77777777" w:rsidR="00AD7DA9" w:rsidRPr="00352742" w:rsidRDefault="00AD7DA9" w:rsidP="00784E07">
            <w:pPr>
              <w:rPr>
                <w:snapToGrid w:val="0"/>
              </w:rPr>
            </w:pPr>
            <w:r w:rsidRPr="00352742">
              <w:rPr>
                <w:snapToGrid w:val="0"/>
              </w:rPr>
              <w:t>Срок подачи Заявок</w:t>
            </w:r>
          </w:p>
        </w:tc>
        <w:tc>
          <w:tcPr>
            <w:tcW w:w="7178" w:type="dxa"/>
            <w:tcBorders>
              <w:top w:val="single" w:sz="4" w:space="0" w:color="auto"/>
              <w:left w:val="single" w:sz="4" w:space="0" w:color="auto"/>
              <w:bottom w:val="single" w:sz="4" w:space="0" w:color="auto"/>
              <w:right w:val="single" w:sz="4" w:space="0" w:color="auto"/>
            </w:tcBorders>
            <w:hideMark/>
          </w:tcPr>
          <w:p w14:paraId="6F044738" w14:textId="367A7FC7" w:rsidR="00AD7DA9" w:rsidRPr="003A1C5E" w:rsidRDefault="00AD7DA9" w:rsidP="00784E07">
            <w:pPr>
              <w:jc w:val="both"/>
              <w:rPr>
                <w:snapToGrid w:val="0"/>
              </w:rPr>
            </w:pPr>
            <w:r w:rsidRPr="003A1C5E">
              <w:rPr>
                <w:snapToGrid w:val="0"/>
              </w:rPr>
              <w:t xml:space="preserve">С </w:t>
            </w:r>
            <w:r w:rsidR="00245578">
              <w:rPr>
                <w:snapToGrid w:val="0"/>
              </w:rPr>
              <w:t>07 ноября</w:t>
            </w:r>
            <w:r w:rsidRPr="003A1C5E">
              <w:rPr>
                <w:snapToGrid w:val="0"/>
              </w:rPr>
              <w:t xml:space="preserve"> 2023 по </w:t>
            </w:r>
            <w:r w:rsidR="00245578">
              <w:rPr>
                <w:snapToGrid w:val="0"/>
              </w:rPr>
              <w:t>04 декабря</w:t>
            </w:r>
            <w:r w:rsidRPr="003A1C5E">
              <w:rPr>
                <w:snapToGrid w:val="0"/>
              </w:rPr>
              <w:t xml:space="preserve"> 2023 в рабочее вр</w:t>
            </w:r>
            <w:r w:rsidR="009556E6" w:rsidRPr="003A1C5E">
              <w:rPr>
                <w:snapToGrid w:val="0"/>
              </w:rPr>
              <w:t xml:space="preserve">емя Фонда, указанное в разделе </w:t>
            </w:r>
            <w:r w:rsidR="00245578">
              <w:rPr>
                <w:snapToGrid w:val="0"/>
              </w:rPr>
              <w:t>10</w:t>
            </w:r>
            <w:r w:rsidRPr="003A1C5E">
              <w:rPr>
                <w:snapToGrid w:val="0"/>
              </w:rPr>
              <w:t xml:space="preserve"> настоящего Извещения</w:t>
            </w:r>
            <w:r w:rsidR="00726D8C">
              <w:rPr>
                <w:snapToGrid w:val="0"/>
              </w:rPr>
              <w:t>.</w:t>
            </w:r>
          </w:p>
        </w:tc>
      </w:tr>
      <w:tr w:rsidR="00AD7DA9" w14:paraId="491FE042" w14:textId="77777777" w:rsidTr="002101DC">
        <w:trPr>
          <w:trHeight w:val="1125"/>
        </w:trPr>
        <w:tc>
          <w:tcPr>
            <w:tcW w:w="880" w:type="dxa"/>
            <w:tcBorders>
              <w:top w:val="single" w:sz="4" w:space="0" w:color="auto"/>
              <w:left w:val="single" w:sz="4" w:space="0" w:color="auto"/>
              <w:bottom w:val="single" w:sz="4" w:space="0" w:color="auto"/>
              <w:right w:val="single" w:sz="4" w:space="0" w:color="auto"/>
            </w:tcBorders>
          </w:tcPr>
          <w:p w14:paraId="66588FB7" w14:textId="77777777" w:rsidR="00AD7DA9" w:rsidRPr="00352742" w:rsidRDefault="00AD7DA9" w:rsidP="00784E07">
            <w:pPr>
              <w:autoSpaceDE w:val="0"/>
              <w:autoSpaceDN w:val="0"/>
              <w:adjustRightInd w:val="0"/>
              <w:jc w:val="center"/>
              <w:rPr>
                <w:snapToGrid w:val="0"/>
              </w:rPr>
            </w:pPr>
            <w:r w:rsidRPr="00352742">
              <w:rPr>
                <w:snapToGrid w:val="0"/>
              </w:rPr>
              <w:t>1</w:t>
            </w:r>
            <w:r w:rsidR="005A20C4">
              <w:rPr>
                <w:snapToGrid w:val="0"/>
              </w:rPr>
              <w:t>3</w:t>
            </w:r>
          </w:p>
        </w:tc>
        <w:tc>
          <w:tcPr>
            <w:tcW w:w="1842" w:type="dxa"/>
            <w:tcBorders>
              <w:top w:val="single" w:sz="4" w:space="0" w:color="auto"/>
              <w:left w:val="single" w:sz="4" w:space="0" w:color="auto"/>
              <w:bottom w:val="single" w:sz="4" w:space="0" w:color="auto"/>
              <w:right w:val="single" w:sz="4" w:space="0" w:color="auto"/>
            </w:tcBorders>
            <w:hideMark/>
          </w:tcPr>
          <w:p w14:paraId="6E8E3E56" w14:textId="77777777" w:rsidR="00AD7DA9" w:rsidRPr="00352742" w:rsidRDefault="00AD7DA9" w:rsidP="00784E07">
            <w:pPr>
              <w:rPr>
                <w:snapToGrid w:val="0"/>
              </w:rPr>
            </w:pPr>
            <w:r w:rsidRPr="00352742">
              <w:rPr>
                <w:snapToGrid w:val="0"/>
              </w:rPr>
              <w:t xml:space="preserve">Дата, время и место вскрытия конвертов с Заявками </w:t>
            </w:r>
          </w:p>
        </w:tc>
        <w:tc>
          <w:tcPr>
            <w:tcW w:w="7178" w:type="dxa"/>
            <w:tcBorders>
              <w:top w:val="single" w:sz="4" w:space="0" w:color="auto"/>
              <w:left w:val="single" w:sz="4" w:space="0" w:color="auto"/>
              <w:bottom w:val="single" w:sz="4" w:space="0" w:color="auto"/>
              <w:right w:val="single" w:sz="4" w:space="0" w:color="auto"/>
            </w:tcBorders>
            <w:hideMark/>
          </w:tcPr>
          <w:p w14:paraId="61FA67CB" w14:textId="0371807F" w:rsidR="00AD7DA9" w:rsidRPr="003A1C5E" w:rsidRDefault="00245578" w:rsidP="00784E07">
            <w:pPr>
              <w:jc w:val="both"/>
              <w:rPr>
                <w:snapToGrid w:val="0"/>
              </w:rPr>
            </w:pPr>
            <w:bookmarkStart w:id="2" w:name="_Hlk143248669"/>
            <w:r>
              <w:rPr>
                <w:snapToGrid w:val="0"/>
              </w:rPr>
              <w:t>05 декабря</w:t>
            </w:r>
            <w:r w:rsidR="00AD7DA9" w:rsidRPr="003A1C5E">
              <w:rPr>
                <w:snapToGrid w:val="0"/>
              </w:rPr>
              <w:t xml:space="preserve"> 2023 в 10 час. 00 мин.</w:t>
            </w:r>
          </w:p>
          <w:p w14:paraId="5E6CCF01" w14:textId="77777777" w:rsidR="00AD7DA9" w:rsidRPr="003A1C5E" w:rsidRDefault="00296D95" w:rsidP="00784E07">
            <w:pPr>
              <w:jc w:val="both"/>
              <w:rPr>
                <w:snapToGrid w:val="0"/>
              </w:rPr>
            </w:pPr>
            <w:r w:rsidRPr="003A1C5E">
              <w:t>Камчатский, край, г. Петропавловск-Камчатский, пр-т Карла Маркса, д. 23</w:t>
            </w:r>
            <w:r w:rsidRPr="003A1C5E">
              <w:rPr>
                <w:snapToGrid w:val="0"/>
              </w:rPr>
              <w:t>, оф.</w:t>
            </w:r>
            <w:r w:rsidR="00AD7DA9" w:rsidRPr="003A1C5E">
              <w:rPr>
                <w:snapToGrid w:val="0"/>
              </w:rPr>
              <w:t xml:space="preserve"> </w:t>
            </w:r>
            <w:r w:rsidR="00685BD2" w:rsidRPr="003A1C5E">
              <w:rPr>
                <w:snapToGrid w:val="0"/>
              </w:rPr>
              <w:t>406</w:t>
            </w:r>
            <w:r w:rsidR="002101DC">
              <w:rPr>
                <w:snapToGrid w:val="0"/>
              </w:rPr>
              <w:t>.</w:t>
            </w:r>
          </w:p>
          <w:bookmarkEnd w:id="2"/>
          <w:p w14:paraId="0F4E47A9" w14:textId="77777777" w:rsidR="00AD7DA9" w:rsidRPr="003A1C5E" w:rsidRDefault="00AD7DA9" w:rsidP="00784E07">
            <w:pPr>
              <w:jc w:val="both"/>
              <w:rPr>
                <w:snapToGrid w:val="0"/>
              </w:rPr>
            </w:pPr>
          </w:p>
        </w:tc>
      </w:tr>
      <w:tr w:rsidR="00AD7DA9" w14:paraId="36DED4AE" w14:textId="77777777" w:rsidTr="002101DC">
        <w:trPr>
          <w:trHeight w:val="701"/>
        </w:trPr>
        <w:tc>
          <w:tcPr>
            <w:tcW w:w="880" w:type="dxa"/>
            <w:tcBorders>
              <w:top w:val="single" w:sz="4" w:space="0" w:color="auto"/>
              <w:left w:val="single" w:sz="4" w:space="0" w:color="auto"/>
              <w:bottom w:val="single" w:sz="4" w:space="0" w:color="auto"/>
              <w:right w:val="single" w:sz="4" w:space="0" w:color="auto"/>
            </w:tcBorders>
          </w:tcPr>
          <w:p w14:paraId="66EB10DA" w14:textId="77777777" w:rsidR="00AD7DA9" w:rsidRPr="00352742" w:rsidRDefault="00AD7DA9" w:rsidP="00784E07">
            <w:pPr>
              <w:autoSpaceDE w:val="0"/>
              <w:autoSpaceDN w:val="0"/>
              <w:adjustRightInd w:val="0"/>
              <w:jc w:val="center"/>
              <w:rPr>
                <w:snapToGrid w:val="0"/>
              </w:rPr>
            </w:pPr>
            <w:r w:rsidRPr="00352742">
              <w:rPr>
                <w:snapToGrid w:val="0"/>
              </w:rPr>
              <w:t>1</w:t>
            </w:r>
            <w:r w:rsidR="005A20C4">
              <w:rPr>
                <w:snapToGrid w:val="0"/>
              </w:rPr>
              <w:t>4</w:t>
            </w:r>
          </w:p>
        </w:tc>
        <w:tc>
          <w:tcPr>
            <w:tcW w:w="1842" w:type="dxa"/>
            <w:tcBorders>
              <w:top w:val="single" w:sz="4" w:space="0" w:color="auto"/>
              <w:left w:val="single" w:sz="4" w:space="0" w:color="auto"/>
              <w:bottom w:val="single" w:sz="4" w:space="0" w:color="auto"/>
              <w:right w:val="single" w:sz="4" w:space="0" w:color="auto"/>
            </w:tcBorders>
          </w:tcPr>
          <w:p w14:paraId="62F262F8" w14:textId="77777777" w:rsidR="00AD7DA9" w:rsidRPr="00352742" w:rsidRDefault="00AD7DA9" w:rsidP="00784E07">
            <w:pPr>
              <w:rPr>
                <w:snapToGrid w:val="0"/>
              </w:rPr>
            </w:pPr>
            <w:r w:rsidRPr="00352742">
              <w:rPr>
                <w:snapToGrid w:val="0"/>
              </w:rPr>
              <w:t>Дата</w:t>
            </w:r>
            <w:r w:rsidR="002101DC">
              <w:rPr>
                <w:snapToGrid w:val="0"/>
              </w:rPr>
              <w:t>, время и место</w:t>
            </w:r>
            <w:r w:rsidRPr="00352742">
              <w:rPr>
                <w:snapToGrid w:val="0"/>
              </w:rPr>
              <w:t xml:space="preserve"> рассмотрения Заявок</w:t>
            </w:r>
          </w:p>
        </w:tc>
        <w:tc>
          <w:tcPr>
            <w:tcW w:w="7178" w:type="dxa"/>
            <w:tcBorders>
              <w:top w:val="single" w:sz="4" w:space="0" w:color="auto"/>
              <w:left w:val="single" w:sz="4" w:space="0" w:color="auto"/>
              <w:bottom w:val="single" w:sz="4" w:space="0" w:color="auto"/>
              <w:right w:val="single" w:sz="4" w:space="0" w:color="auto"/>
            </w:tcBorders>
          </w:tcPr>
          <w:p w14:paraId="07CBB3E4" w14:textId="08C6F576" w:rsidR="00AD7DA9" w:rsidRDefault="00245578" w:rsidP="00784E07">
            <w:pPr>
              <w:jc w:val="both"/>
              <w:rPr>
                <w:snapToGrid w:val="0"/>
              </w:rPr>
            </w:pPr>
            <w:r>
              <w:rPr>
                <w:snapToGrid w:val="0"/>
              </w:rPr>
              <w:t>08 декабря</w:t>
            </w:r>
            <w:r w:rsidR="00AD7DA9" w:rsidRPr="000B1094">
              <w:rPr>
                <w:snapToGrid w:val="0"/>
              </w:rPr>
              <w:t xml:space="preserve"> 2023 </w:t>
            </w:r>
            <w:r w:rsidR="002101DC">
              <w:rPr>
                <w:snapToGrid w:val="0"/>
              </w:rPr>
              <w:t>с</w:t>
            </w:r>
            <w:r w:rsidR="00AD7DA9" w:rsidRPr="000B1094">
              <w:rPr>
                <w:snapToGrid w:val="0"/>
              </w:rPr>
              <w:t xml:space="preserve"> </w:t>
            </w:r>
            <w:bookmarkStart w:id="3" w:name="_Hlk143248848"/>
            <w:r w:rsidR="00AD7DA9" w:rsidRPr="000B1094">
              <w:rPr>
                <w:snapToGrid w:val="0"/>
              </w:rPr>
              <w:t>10 час. 00 мин.</w:t>
            </w:r>
          </w:p>
          <w:p w14:paraId="2CC0E59B" w14:textId="77777777" w:rsidR="002101DC" w:rsidRPr="00383B7B" w:rsidRDefault="002101DC" w:rsidP="00784E07">
            <w:pPr>
              <w:jc w:val="both"/>
              <w:rPr>
                <w:snapToGrid w:val="0"/>
              </w:rPr>
            </w:pPr>
            <w:r w:rsidRPr="003A1C5E">
              <w:t>Камчатский, край, г. Петропавловск-Камчатский, пр-т Карла Маркса, д. 23</w:t>
            </w:r>
            <w:r w:rsidRPr="003A1C5E">
              <w:rPr>
                <w:snapToGrid w:val="0"/>
              </w:rPr>
              <w:t>, оф. 406</w:t>
            </w:r>
            <w:r>
              <w:rPr>
                <w:snapToGrid w:val="0"/>
              </w:rPr>
              <w:t>.</w:t>
            </w:r>
          </w:p>
          <w:bookmarkEnd w:id="3"/>
          <w:p w14:paraId="7F35327D" w14:textId="77777777" w:rsidR="00AD7DA9" w:rsidRPr="00383B7B" w:rsidRDefault="00AD7DA9" w:rsidP="00784E07">
            <w:pPr>
              <w:jc w:val="both"/>
              <w:rPr>
                <w:snapToGrid w:val="0"/>
              </w:rPr>
            </w:pPr>
          </w:p>
        </w:tc>
      </w:tr>
      <w:tr w:rsidR="00AD7DA9" w:rsidRPr="000A712B" w14:paraId="0AEAC5FE" w14:textId="77777777" w:rsidTr="002101DC">
        <w:trPr>
          <w:trHeight w:val="415"/>
        </w:trPr>
        <w:tc>
          <w:tcPr>
            <w:tcW w:w="880" w:type="dxa"/>
            <w:tcBorders>
              <w:top w:val="single" w:sz="4" w:space="0" w:color="auto"/>
              <w:left w:val="single" w:sz="4" w:space="0" w:color="auto"/>
              <w:bottom w:val="single" w:sz="4" w:space="0" w:color="auto"/>
              <w:right w:val="single" w:sz="4" w:space="0" w:color="auto"/>
            </w:tcBorders>
          </w:tcPr>
          <w:p w14:paraId="1D91E703" w14:textId="77777777" w:rsidR="00AD7DA9" w:rsidRPr="00352742" w:rsidRDefault="00AD7DA9" w:rsidP="00784E07">
            <w:pPr>
              <w:autoSpaceDE w:val="0"/>
              <w:autoSpaceDN w:val="0"/>
              <w:adjustRightInd w:val="0"/>
              <w:jc w:val="center"/>
              <w:rPr>
                <w:snapToGrid w:val="0"/>
              </w:rPr>
            </w:pPr>
            <w:r w:rsidRPr="00352742">
              <w:rPr>
                <w:snapToGrid w:val="0"/>
              </w:rPr>
              <w:t>1</w:t>
            </w:r>
            <w:r w:rsidR="005A20C4">
              <w:rPr>
                <w:snapToGrid w:val="0"/>
              </w:rPr>
              <w:t>5</w:t>
            </w:r>
          </w:p>
        </w:tc>
        <w:tc>
          <w:tcPr>
            <w:tcW w:w="1842" w:type="dxa"/>
            <w:tcBorders>
              <w:top w:val="single" w:sz="4" w:space="0" w:color="auto"/>
              <w:left w:val="single" w:sz="4" w:space="0" w:color="auto"/>
              <w:bottom w:val="single" w:sz="4" w:space="0" w:color="auto"/>
              <w:right w:val="single" w:sz="4" w:space="0" w:color="auto"/>
            </w:tcBorders>
          </w:tcPr>
          <w:p w14:paraId="015822BA" w14:textId="77777777" w:rsidR="00AD7DA9" w:rsidRPr="00352742" w:rsidRDefault="00AD7DA9" w:rsidP="00784E07">
            <w:pPr>
              <w:shd w:val="clear" w:color="auto" w:fill="FFFFFF"/>
              <w:rPr>
                <w:snapToGrid w:val="0"/>
              </w:rPr>
            </w:pPr>
            <w:r w:rsidRPr="00352742">
              <w:rPr>
                <w:snapToGrid w:val="0"/>
              </w:rPr>
              <w:t xml:space="preserve">Требование к </w:t>
            </w:r>
            <w:r w:rsidR="000B1094">
              <w:rPr>
                <w:snapToGrid w:val="0"/>
              </w:rPr>
              <w:t>аудиторской организации</w:t>
            </w:r>
          </w:p>
        </w:tc>
        <w:tc>
          <w:tcPr>
            <w:tcW w:w="7178" w:type="dxa"/>
            <w:tcBorders>
              <w:top w:val="single" w:sz="4" w:space="0" w:color="auto"/>
              <w:left w:val="single" w:sz="4" w:space="0" w:color="auto"/>
              <w:bottom w:val="single" w:sz="4" w:space="0" w:color="auto"/>
              <w:right w:val="single" w:sz="4" w:space="0" w:color="auto"/>
            </w:tcBorders>
          </w:tcPr>
          <w:p w14:paraId="2D38FBBC" w14:textId="77777777" w:rsidR="000B1094" w:rsidRPr="00245578" w:rsidRDefault="000B1094" w:rsidP="00245578">
            <w:pPr>
              <w:tabs>
                <w:tab w:val="left" w:pos="1418"/>
                <w:tab w:val="left" w:pos="1701"/>
                <w:tab w:val="left" w:pos="1843"/>
              </w:tabs>
              <w:overflowPunct w:val="0"/>
              <w:autoSpaceDE w:val="0"/>
              <w:autoSpaceDN w:val="0"/>
              <w:adjustRightInd w:val="0"/>
              <w:jc w:val="both"/>
              <w:rPr>
                <w:rStyle w:val="FontStyle13"/>
                <w:b w:val="0"/>
                <w:sz w:val="24"/>
                <w:szCs w:val="24"/>
              </w:rPr>
            </w:pPr>
            <w:r w:rsidRPr="00245578">
              <w:rPr>
                <w:rStyle w:val="FontStyle13"/>
                <w:b w:val="0"/>
                <w:sz w:val="24"/>
                <w:szCs w:val="24"/>
              </w:rPr>
              <w:t>Требования к аудиторской организации (претенденту) установлены в разделе 8 Конкурсной документации.</w:t>
            </w:r>
          </w:p>
          <w:p w14:paraId="7E1E1DAE" w14:textId="77777777" w:rsidR="000B1094" w:rsidRPr="00245578" w:rsidRDefault="000B1094" w:rsidP="00245578">
            <w:pPr>
              <w:jc w:val="both"/>
              <w:rPr>
                <w:bCs/>
              </w:rPr>
            </w:pPr>
            <w:r w:rsidRPr="00245578">
              <w:rPr>
                <w:bCs/>
              </w:rPr>
              <w:t>К участию в Открытом конкурсе допускаются Претенденты, соответствующие следующим требованиям на дату подписания Заявки:</w:t>
            </w:r>
          </w:p>
          <w:p w14:paraId="4143A725" w14:textId="77777777" w:rsidR="00245578" w:rsidRPr="00245578" w:rsidRDefault="00245578" w:rsidP="00245578">
            <w:pPr>
              <w:pStyle w:val="a4"/>
              <w:numPr>
                <w:ilvl w:val="0"/>
                <w:numId w:val="13"/>
              </w:numPr>
              <w:ind w:hanging="284"/>
              <w:jc w:val="both"/>
              <w:rPr>
                <w:bCs/>
              </w:rPr>
            </w:pPr>
            <w:r w:rsidRPr="00245578">
              <w:rPr>
                <w:bCs/>
              </w:rPr>
              <w:t>Претендент – коммерческая организация, являющаяся членом Саморегулируемой организации аудиторов Ассоциация «Содружество» (СРО ААС), ИНН 7729440813;</w:t>
            </w:r>
          </w:p>
          <w:p w14:paraId="5B7009FC" w14:textId="77777777" w:rsidR="00245578" w:rsidRPr="00245578" w:rsidRDefault="00245578" w:rsidP="00245578">
            <w:pPr>
              <w:pStyle w:val="a4"/>
              <w:numPr>
                <w:ilvl w:val="0"/>
                <w:numId w:val="13"/>
              </w:numPr>
              <w:ind w:hanging="284"/>
              <w:jc w:val="both"/>
              <w:rPr>
                <w:bCs/>
              </w:rPr>
            </w:pPr>
            <w:r w:rsidRPr="00245578">
              <w:rPr>
                <w:bCs/>
              </w:rPr>
              <w:t>сведения о Претенденте внесены в реестр аудиторов и аудиторских организаций Саморегулируемой организации аудиторов Ассоциация «Содружество» (СРО ААС), ИНН 7729440813;</w:t>
            </w:r>
          </w:p>
          <w:p w14:paraId="743BF6B0" w14:textId="77777777" w:rsidR="00245578" w:rsidRPr="00245578" w:rsidRDefault="00245578" w:rsidP="00245578">
            <w:pPr>
              <w:pStyle w:val="a4"/>
              <w:numPr>
                <w:ilvl w:val="0"/>
                <w:numId w:val="13"/>
              </w:numPr>
              <w:ind w:hanging="284"/>
              <w:jc w:val="both"/>
              <w:rPr>
                <w:bCs/>
              </w:rPr>
            </w:pPr>
            <w:r w:rsidRPr="00245578">
              <w:rPr>
                <w:bCs/>
              </w:rPr>
              <w:t>Претендент соответствует требованиям, предусмотренным статьями 4, 8, 10, 10.1 и 18 ФЗ № 307-ФЗ:</w:t>
            </w:r>
          </w:p>
          <w:p w14:paraId="3B73BE97" w14:textId="77777777" w:rsidR="00245578" w:rsidRPr="00245578" w:rsidRDefault="00245578" w:rsidP="00245578">
            <w:pPr>
              <w:pStyle w:val="a4"/>
              <w:numPr>
                <w:ilvl w:val="0"/>
                <w:numId w:val="13"/>
              </w:numPr>
              <w:ind w:hanging="284"/>
              <w:jc w:val="both"/>
              <w:rPr>
                <w:bCs/>
              </w:rPr>
            </w:pPr>
            <w:r w:rsidRPr="00245578">
              <w:rPr>
                <w:bCs/>
              </w:rPr>
              <w:t xml:space="preserve">информация о Претенденте (в том числе информация об учредителях, о членах коллегиального исполнительного органа, лице, исполняющем функции единоличного исполнительного органа Претендента) </w:t>
            </w:r>
            <w:proofErr w:type="gramStart"/>
            <w:r w:rsidRPr="00245578">
              <w:rPr>
                <w:bCs/>
              </w:rPr>
              <w:t>отсутствует  в</w:t>
            </w:r>
            <w:proofErr w:type="gramEnd"/>
            <w:r w:rsidRPr="00245578">
              <w:rPr>
                <w:bCs/>
              </w:rPr>
              <w:t xml:space="preserve"> реестрах недобросовестных поставщиков (подрядчиков, исполнителей), предусмотренных ФЗ № 44-ФЗ и ФЗ № 223-ФЗ;</w:t>
            </w:r>
          </w:p>
          <w:p w14:paraId="62637C0C" w14:textId="77777777" w:rsidR="00245578" w:rsidRPr="00245578" w:rsidRDefault="00245578" w:rsidP="00245578">
            <w:pPr>
              <w:pStyle w:val="a4"/>
              <w:numPr>
                <w:ilvl w:val="0"/>
                <w:numId w:val="13"/>
              </w:numPr>
              <w:ind w:hanging="284"/>
              <w:jc w:val="both"/>
              <w:rPr>
                <w:bCs/>
              </w:rPr>
            </w:pPr>
            <w:r w:rsidRPr="00245578">
              <w:rPr>
                <w:bCs/>
              </w:rPr>
              <w:t>не проводится ликвидация Претендента и отсутствуют решения арбитражного суда о введении процедуры наблюдения у Претендента, о признании его несостоятельным (банкротом) и об открытии конкурсного производства;</w:t>
            </w:r>
          </w:p>
          <w:p w14:paraId="1D9AC65B" w14:textId="77777777" w:rsidR="00245578" w:rsidRPr="00245578" w:rsidRDefault="00245578" w:rsidP="00245578">
            <w:pPr>
              <w:pStyle w:val="a4"/>
              <w:numPr>
                <w:ilvl w:val="0"/>
                <w:numId w:val="13"/>
              </w:numPr>
              <w:ind w:hanging="284"/>
              <w:jc w:val="both"/>
              <w:rPr>
                <w:bCs/>
              </w:rPr>
            </w:pPr>
            <w:r w:rsidRPr="00245578">
              <w:rPr>
                <w:bCs/>
              </w:rPr>
              <w:t>деятельность Претендента не приостановлена в порядке, установленном Кодексом Российской Федерации об административных правонарушениях;</w:t>
            </w:r>
          </w:p>
          <w:p w14:paraId="55B85D69" w14:textId="77777777" w:rsidR="00245578" w:rsidRPr="00245578" w:rsidRDefault="00245578" w:rsidP="00245578">
            <w:pPr>
              <w:pStyle w:val="a4"/>
              <w:numPr>
                <w:ilvl w:val="0"/>
                <w:numId w:val="13"/>
              </w:numPr>
              <w:ind w:hanging="284"/>
              <w:jc w:val="both"/>
              <w:rPr>
                <w:bCs/>
              </w:rPr>
            </w:pPr>
            <w:r w:rsidRPr="00245578">
              <w:rPr>
                <w:bCs/>
              </w:rPr>
              <w:t>отсутствие у Претендента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2022 год, размер которых превышает двадцать пять процентов балансовой стоимости активов, по данным бухгалтерской отчетности за последний отчетный период. Претендент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14:paraId="1CE46282" w14:textId="77777777" w:rsidR="00245578" w:rsidRPr="00245578" w:rsidRDefault="00245578" w:rsidP="00245578">
            <w:pPr>
              <w:pStyle w:val="a4"/>
              <w:numPr>
                <w:ilvl w:val="0"/>
                <w:numId w:val="13"/>
              </w:numPr>
              <w:ind w:hanging="284"/>
              <w:jc w:val="both"/>
              <w:rPr>
                <w:bCs/>
              </w:rPr>
            </w:pPr>
            <w:r w:rsidRPr="00245578">
              <w:rPr>
                <w:bCs/>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Претендента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проведением аудита бухгалтерской (финансовой) отчетности , и административного наказания в виде дисквалификации;</w:t>
            </w:r>
          </w:p>
          <w:p w14:paraId="00A3D525" w14:textId="77777777" w:rsidR="00245578" w:rsidRPr="00245578" w:rsidRDefault="00245578" w:rsidP="00245578">
            <w:pPr>
              <w:pStyle w:val="a4"/>
              <w:numPr>
                <w:ilvl w:val="0"/>
                <w:numId w:val="13"/>
              </w:numPr>
              <w:ind w:hanging="284"/>
              <w:jc w:val="both"/>
              <w:rPr>
                <w:bCs/>
              </w:rPr>
            </w:pPr>
            <w:r w:rsidRPr="00245578">
              <w:rPr>
                <w:bCs/>
              </w:rPr>
              <w:t>Претендент в течение двух лет до момента подачи Заявки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349D99" w14:textId="77777777" w:rsidR="00245578" w:rsidRPr="00245578" w:rsidRDefault="00245578" w:rsidP="00245578">
            <w:pPr>
              <w:pStyle w:val="a4"/>
              <w:numPr>
                <w:ilvl w:val="0"/>
                <w:numId w:val="13"/>
              </w:numPr>
              <w:ind w:hanging="284"/>
              <w:jc w:val="both"/>
              <w:rPr>
                <w:bCs/>
              </w:rPr>
            </w:pPr>
            <w:r w:rsidRPr="00245578">
              <w:rPr>
                <w:bCs/>
              </w:rPr>
              <w:t>отсутствие обстоятельств, при которых должностное лицо Фонда  (руководитель Фонда или член Конкурсной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Фонда отца или мать) брат (сестра), лицо, усыновленное должностным лицом Фонда, либо усыновитель этого должностного лица Фонда является:</w:t>
            </w:r>
          </w:p>
          <w:p w14:paraId="058EB00F" w14:textId="77777777" w:rsidR="00245578" w:rsidRPr="00245578" w:rsidRDefault="00245578" w:rsidP="00245578">
            <w:pPr>
              <w:pStyle w:val="a4"/>
              <w:numPr>
                <w:ilvl w:val="0"/>
                <w:numId w:val="14"/>
              </w:numPr>
              <w:jc w:val="both"/>
              <w:rPr>
                <w:bCs/>
              </w:rPr>
            </w:pPr>
            <w:r w:rsidRPr="00245578">
              <w:rPr>
                <w:bCs/>
              </w:rPr>
              <w:t>руководителем, единоличным исполнительным органом, членом коллегиального исполнительного органа, учредителем, членом коллегиального органа Претендента;</w:t>
            </w:r>
          </w:p>
          <w:p w14:paraId="4E04D447" w14:textId="77777777" w:rsidR="00245578" w:rsidRPr="00245578" w:rsidRDefault="00245578" w:rsidP="00245578">
            <w:pPr>
              <w:pStyle w:val="a4"/>
              <w:numPr>
                <w:ilvl w:val="0"/>
                <w:numId w:val="14"/>
              </w:numPr>
              <w:jc w:val="both"/>
              <w:rPr>
                <w:bCs/>
              </w:rPr>
            </w:pPr>
            <w:r w:rsidRPr="00245578">
              <w:rPr>
                <w:bCs/>
              </w:rPr>
              <w:t>единоличным исполнительным органом, членом коллегиального исполнительного органа, членом коллегиального органа управления, выгодоприобретателем Претендента.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Претендента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Претендента;</w:t>
            </w:r>
          </w:p>
          <w:p w14:paraId="2A50790E" w14:textId="77777777" w:rsidR="00245578" w:rsidRPr="00245578" w:rsidRDefault="00245578" w:rsidP="00245578">
            <w:pPr>
              <w:pStyle w:val="a4"/>
              <w:numPr>
                <w:ilvl w:val="0"/>
                <w:numId w:val="13"/>
              </w:numPr>
              <w:ind w:hanging="284"/>
              <w:jc w:val="both"/>
              <w:rPr>
                <w:bCs/>
              </w:rPr>
            </w:pPr>
            <w:r w:rsidRPr="00245578">
              <w:rPr>
                <w:bCs/>
              </w:rPr>
              <w:t>Претендент не является офшорной компанией, не имеет в составе участников (членов) или в составе учредителей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Претендента либо долей, превышающей десять процентов в уставном (складочном) капитале Претендента;</w:t>
            </w:r>
          </w:p>
          <w:p w14:paraId="6C40D45E" w14:textId="77777777" w:rsidR="00245578" w:rsidRPr="00245578" w:rsidRDefault="00245578" w:rsidP="00245578">
            <w:pPr>
              <w:pStyle w:val="a4"/>
              <w:numPr>
                <w:ilvl w:val="0"/>
                <w:numId w:val="13"/>
              </w:numPr>
              <w:ind w:hanging="284"/>
              <w:jc w:val="both"/>
              <w:rPr>
                <w:bCs/>
              </w:rPr>
            </w:pPr>
            <w:r w:rsidRPr="00245578">
              <w:rPr>
                <w:bCs/>
              </w:rPr>
              <w:t>Претендент не является иностранным агентом;</w:t>
            </w:r>
          </w:p>
          <w:p w14:paraId="0E200287" w14:textId="77777777" w:rsidR="00245578" w:rsidRPr="00245578" w:rsidRDefault="00245578" w:rsidP="00245578">
            <w:pPr>
              <w:pStyle w:val="a4"/>
              <w:numPr>
                <w:ilvl w:val="0"/>
                <w:numId w:val="13"/>
              </w:numPr>
              <w:ind w:hanging="284"/>
              <w:jc w:val="both"/>
              <w:rPr>
                <w:bCs/>
              </w:rPr>
            </w:pPr>
            <w:r w:rsidRPr="00245578">
              <w:rPr>
                <w:bCs/>
              </w:rPr>
              <w:t>отсутствие у Претендента сформированного убытка в бухгалтерской (финансовой) отчетности за 2022 год;</w:t>
            </w:r>
          </w:p>
          <w:p w14:paraId="2B0F743B" w14:textId="046FCCD7" w:rsidR="00AD7DA9" w:rsidRPr="00245578" w:rsidRDefault="00245578" w:rsidP="00245578">
            <w:pPr>
              <w:pStyle w:val="a4"/>
              <w:numPr>
                <w:ilvl w:val="0"/>
                <w:numId w:val="13"/>
              </w:numPr>
              <w:ind w:hanging="284"/>
              <w:jc w:val="both"/>
              <w:rPr>
                <w:rStyle w:val="FontStyle13"/>
                <w:b w:val="0"/>
                <w:sz w:val="24"/>
                <w:szCs w:val="24"/>
              </w:rPr>
            </w:pPr>
            <w:r w:rsidRPr="00245578">
              <w:rPr>
                <w:bCs/>
              </w:rPr>
              <w:t>наличие у Претендента опыта проведения аудита бухгалтерской (финансовой) отчетности отдельных некредитных финансовых организаций, на которые распространяется Положение Банка России от 25.10.2017 № 613-П «О формах раскрытия информации о бухгалтерской (финансовой) отчетности некредитных финансовых организаций и порядке группировке счетов бухгалтерского учета в соответствии с показателями бухгалтерской (финансовой) отчетности».</w:t>
            </w:r>
          </w:p>
        </w:tc>
      </w:tr>
      <w:tr w:rsidR="00AD7DA9" w14:paraId="0E2BECC7" w14:textId="77777777" w:rsidTr="002101DC">
        <w:tc>
          <w:tcPr>
            <w:tcW w:w="880" w:type="dxa"/>
            <w:tcBorders>
              <w:top w:val="single" w:sz="4" w:space="0" w:color="auto"/>
              <w:left w:val="single" w:sz="4" w:space="0" w:color="auto"/>
              <w:bottom w:val="single" w:sz="4" w:space="0" w:color="auto"/>
              <w:right w:val="single" w:sz="4" w:space="0" w:color="auto"/>
            </w:tcBorders>
          </w:tcPr>
          <w:p w14:paraId="6BBA4A7B" w14:textId="77777777" w:rsidR="00AD7DA9" w:rsidRPr="00352742" w:rsidRDefault="00784E07" w:rsidP="00784E07">
            <w:pPr>
              <w:autoSpaceDE w:val="0"/>
              <w:autoSpaceDN w:val="0"/>
              <w:adjustRightInd w:val="0"/>
              <w:jc w:val="center"/>
              <w:rPr>
                <w:snapToGrid w:val="0"/>
              </w:rPr>
            </w:pPr>
            <w:r>
              <w:rPr>
                <w:snapToGrid w:val="0"/>
              </w:rPr>
              <w:lastRenderedPageBreak/>
              <w:t>16</w:t>
            </w:r>
          </w:p>
        </w:tc>
        <w:tc>
          <w:tcPr>
            <w:tcW w:w="1842" w:type="dxa"/>
            <w:tcBorders>
              <w:top w:val="single" w:sz="4" w:space="0" w:color="auto"/>
              <w:left w:val="single" w:sz="4" w:space="0" w:color="auto"/>
              <w:bottom w:val="single" w:sz="4" w:space="0" w:color="auto"/>
              <w:right w:val="single" w:sz="4" w:space="0" w:color="auto"/>
            </w:tcBorders>
            <w:hideMark/>
          </w:tcPr>
          <w:p w14:paraId="64C84D23" w14:textId="77777777" w:rsidR="00AD7DA9" w:rsidRPr="00784E07" w:rsidRDefault="00200696" w:rsidP="00784E07">
            <w:pPr>
              <w:widowControl w:val="0"/>
            </w:pPr>
            <w:r w:rsidRPr="00784E07">
              <w:t xml:space="preserve">Порядок рассмотрения </w:t>
            </w:r>
            <w:r w:rsidR="00054B6A" w:rsidRPr="00784E07">
              <w:t>Заявок</w:t>
            </w:r>
            <w:r w:rsidR="003A1C5E" w:rsidRPr="00784E07">
              <w:t xml:space="preserve"> и определения аудиторской организации для заключения договора оказания аудиторских услуг </w:t>
            </w:r>
          </w:p>
        </w:tc>
        <w:tc>
          <w:tcPr>
            <w:tcW w:w="7178" w:type="dxa"/>
            <w:tcBorders>
              <w:top w:val="single" w:sz="4" w:space="0" w:color="auto"/>
              <w:left w:val="single" w:sz="4" w:space="0" w:color="auto"/>
              <w:bottom w:val="single" w:sz="4" w:space="0" w:color="auto"/>
              <w:right w:val="single" w:sz="4" w:space="0" w:color="auto"/>
            </w:tcBorders>
          </w:tcPr>
          <w:p w14:paraId="73442CAD" w14:textId="77777777" w:rsidR="00AD7DA9" w:rsidRPr="00784E07" w:rsidRDefault="00784E07" w:rsidP="00784E07">
            <w:pPr>
              <w:widowControl w:val="0"/>
              <w:autoSpaceDE w:val="0"/>
              <w:autoSpaceDN w:val="0"/>
              <w:adjustRightInd w:val="0"/>
              <w:jc w:val="both"/>
            </w:pPr>
            <w:r w:rsidRPr="00784E07">
              <w:t>Порядок рассмотрения Заявок определен в разделе 11 Конкурсной документации.</w:t>
            </w:r>
          </w:p>
          <w:p w14:paraId="1972D772" w14:textId="77777777" w:rsidR="00784E07" w:rsidRPr="00784E07" w:rsidRDefault="00784E07" w:rsidP="00784E07">
            <w:pPr>
              <w:widowControl w:val="0"/>
              <w:autoSpaceDE w:val="0"/>
              <w:autoSpaceDN w:val="0"/>
              <w:adjustRightInd w:val="0"/>
              <w:jc w:val="both"/>
            </w:pPr>
            <w:r w:rsidRPr="00784E07">
              <w:t xml:space="preserve">Рассмотрение Заявок осуществляется в два этапа. На первом этапе проверяется соответствие Заявки и аудиторской организации установленным Конкурсной документацией требованиям. На втором этапе производится сравнение Заявок аудиторских организаций по предложенной цене Услуги. </w:t>
            </w:r>
          </w:p>
          <w:p w14:paraId="65BFE7C9" w14:textId="77777777" w:rsidR="00AD7DA9" w:rsidRPr="00784E07" w:rsidRDefault="00AD7DA9" w:rsidP="00784E07">
            <w:pPr>
              <w:widowControl w:val="0"/>
              <w:autoSpaceDE w:val="0"/>
              <w:autoSpaceDN w:val="0"/>
              <w:adjustRightInd w:val="0"/>
              <w:jc w:val="both"/>
            </w:pPr>
          </w:p>
        </w:tc>
      </w:tr>
      <w:tr w:rsidR="00D9058D" w14:paraId="4E7626FC" w14:textId="77777777" w:rsidTr="002101DC">
        <w:tc>
          <w:tcPr>
            <w:tcW w:w="880" w:type="dxa"/>
            <w:tcBorders>
              <w:top w:val="single" w:sz="4" w:space="0" w:color="auto"/>
              <w:left w:val="single" w:sz="4" w:space="0" w:color="auto"/>
              <w:bottom w:val="single" w:sz="4" w:space="0" w:color="auto"/>
              <w:right w:val="single" w:sz="4" w:space="0" w:color="auto"/>
            </w:tcBorders>
          </w:tcPr>
          <w:p w14:paraId="46275134" w14:textId="77777777" w:rsidR="00D9058D" w:rsidRPr="00352742" w:rsidRDefault="00784E07" w:rsidP="00784E07">
            <w:pPr>
              <w:autoSpaceDE w:val="0"/>
              <w:autoSpaceDN w:val="0"/>
              <w:adjustRightInd w:val="0"/>
              <w:jc w:val="center"/>
              <w:rPr>
                <w:snapToGrid w:val="0"/>
              </w:rPr>
            </w:pPr>
            <w:r>
              <w:rPr>
                <w:snapToGrid w:val="0"/>
              </w:rPr>
              <w:t>17</w:t>
            </w:r>
          </w:p>
        </w:tc>
        <w:tc>
          <w:tcPr>
            <w:tcW w:w="1842" w:type="dxa"/>
            <w:tcBorders>
              <w:top w:val="single" w:sz="4" w:space="0" w:color="auto"/>
              <w:left w:val="single" w:sz="4" w:space="0" w:color="auto"/>
              <w:bottom w:val="single" w:sz="4" w:space="0" w:color="auto"/>
              <w:right w:val="single" w:sz="4" w:space="0" w:color="auto"/>
            </w:tcBorders>
          </w:tcPr>
          <w:p w14:paraId="6D631998" w14:textId="77777777" w:rsidR="00D9058D" w:rsidRPr="00352742" w:rsidRDefault="00D9058D" w:rsidP="00784E07">
            <w:pPr>
              <w:widowControl w:val="0"/>
            </w:pPr>
            <w:r>
              <w:rPr>
                <w:color w:val="000000"/>
              </w:rPr>
              <w:t>У</w:t>
            </w:r>
            <w:r w:rsidRPr="003A1C5E">
              <w:rPr>
                <w:color w:val="000000"/>
              </w:rPr>
              <w:t>словия договора оказания аудиторских услуг</w:t>
            </w:r>
          </w:p>
        </w:tc>
        <w:tc>
          <w:tcPr>
            <w:tcW w:w="7178" w:type="dxa"/>
            <w:tcBorders>
              <w:top w:val="single" w:sz="4" w:space="0" w:color="auto"/>
              <w:left w:val="single" w:sz="4" w:space="0" w:color="auto"/>
              <w:bottom w:val="single" w:sz="4" w:space="0" w:color="auto"/>
              <w:right w:val="single" w:sz="4" w:space="0" w:color="auto"/>
            </w:tcBorders>
          </w:tcPr>
          <w:p w14:paraId="0DD9D708" w14:textId="77777777" w:rsidR="00D9058D" w:rsidRDefault="00D9058D" w:rsidP="00784E07">
            <w:pPr>
              <w:tabs>
                <w:tab w:val="left" w:pos="426"/>
                <w:tab w:val="left" w:pos="1134"/>
              </w:tabs>
              <w:overflowPunct w:val="0"/>
              <w:autoSpaceDE w:val="0"/>
              <w:autoSpaceDN w:val="0"/>
              <w:adjustRightInd w:val="0"/>
              <w:jc w:val="both"/>
            </w:pPr>
            <w:r>
              <w:t>Предметом договора оказания аудиторских услуг является:</w:t>
            </w:r>
          </w:p>
          <w:p w14:paraId="791AF64A" w14:textId="6DAC0F15" w:rsidR="00D9058D" w:rsidRPr="00E54EC7" w:rsidRDefault="00D9058D" w:rsidP="002101DC">
            <w:pPr>
              <w:pStyle w:val="a4"/>
              <w:numPr>
                <w:ilvl w:val="0"/>
                <w:numId w:val="8"/>
              </w:numPr>
              <w:suppressAutoHyphens/>
              <w:jc w:val="both"/>
            </w:pPr>
            <w:r>
              <w:t>А</w:t>
            </w:r>
            <w:r w:rsidRPr="00E54EC7">
              <w:t xml:space="preserve">удит бухгалтерской (финансовой) отчетности </w:t>
            </w:r>
            <w:r>
              <w:t>Фонда</w:t>
            </w:r>
            <w:r w:rsidRPr="00E54EC7">
              <w:t xml:space="preserve"> за 2023</w:t>
            </w:r>
            <w:r w:rsidR="00245578">
              <w:t>, 2024, 2025 годы</w:t>
            </w:r>
            <w:r w:rsidRPr="00E54EC7">
              <w:t xml:space="preserve"> и </w:t>
            </w:r>
            <w:r>
              <w:t>составление</w:t>
            </w:r>
            <w:r w:rsidRPr="00E54EC7">
              <w:t xml:space="preserve"> аудиторско</w:t>
            </w:r>
            <w:r>
              <w:t>го</w:t>
            </w:r>
            <w:r w:rsidRPr="00E54EC7">
              <w:t xml:space="preserve"> заключени</w:t>
            </w:r>
            <w:r>
              <w:t>я</w:t>
            </w:r>
            <w:r w:rsidR="00245578">
              <w:t xml:space="preserve"> за каждый проверяемый период</w:t>
            </w:r>
            <w:r>
              <w:t>.</w:t>
            </w:r>
          </w:p>
          <w:p w14:paraId="1A67716B" w14:textId="77777777" w:rsidR="00D9058D" w:rsidRDefault="00D9058D" w:rsidP="002101DC">
            <w:pPr>
              <w:pStyle w:val="a4"/>
              <w:numPr>
                <w:ilvl w:val="0"/>
                <w:numId w:val="8"/>
              </w:numPr>
              <w:suppressAutoHyphens/>
              <w:jc w:val="both"/>
            </w:pPr>
            <w:r w:rsidRPr="00E54EC7">
              <w:t xml:space="preserve">Аудит </w:t>
            </w:r>
            <w:r>
              <w:t>должен быть проведен</w:t>
            </w:r>
            <w:r w:rsidRPr="00E54EC7">
              <w:t xml:space="preserve">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w:t>
            </w:r>
          </w:p>
          <w:p w14:paraId="20763440" w14:textId="77777777" w:rsidR="00D9058D" w:rsidRDefault="00D9058D" w:rsidP="00784E07">
            <w:pPr>
              <w:widowControl w:val="0"/>
              <w:autoSpaceDE w:val="0"/>
              <w:autoSpaceDN w:val="0"/>
              <w:adjustRightInd w:val="0"/>
              <w:jc w:val="both"/>
            </w:pPr>
          </w:p>
          <w:p w14:paraId="71BF2EDF" w14:textId="77777777" w:rsidR="00D9058D" w:rsidRPr="00352742" w:rsidRDefault="00D9058D" w:rsidP="00784E07">
            <w:pPr>
              <w:widowControl w:val="0"/>
              <w:autoSpaceDE w:val="0"/>
              <w:autoSpaceDN w:val="0"/>
              <w:adjustRightInd w:val="0"/>
              <w:jc w:val="both"/>
            </w:pPr>
            <w:r>
              <w:t xml:space="preserve">Проект договора оказания аудиторских услуг приведен в Приложении № 1 </w:t>
            </w:r>
            <w:r w:rsidR="00296D95">
              <w:t xml:space="preserve">к </w:t>
            </w:r>
            <w:r>
              <w:t xml:space="preserve">Конкурсной </w:t>
            </w:r>
            <w:r w:rsidR="00296D95">
              <w:t>документации</w:t>
            </w:r>
            <w:r>
              <w:t>.</w:t>
            </w:r>
          </w:p>
        </w:tc>
      </w:tr>
      <w:tr w:rsidR="00AD7DA9" w14:paraId="124138B9" w14:textId="77777777" w:rsidTr="002101DC">
        <w:trPr>
          <w:trHeight w:val="415"/>
        </w:trPr>
        <w:tc>
          <w:tcPr>
            <w:tcW w:w="880" w:type="dxa"/>
            <w:tcBorders>
              <w:top w:val="single" w:sz="4" w:space="0" w:color="auto"/>
              <w:left w:val="single" w:sz="4" w:space="0" w:color="auto"/>
              <w:bottom w:val="single" w:sz="4" w:space="0" w:color="auto"/>
              <w:right w:val="single" w:sz="4" w:space="0" w:color="auto"/>
            </w:tcBorders>
          </w:tcPr>
          <w:p w14:paraId="25C262B2" w14:textId="77777777" w:rsidR="00AD7DA9" w:rsidRPr="00352742" w:rsidRDefault="00784E07" w:rsidP="00784E07">
            <w:pPr>
              <w:autoSpaceDE w:val="0"/>
              <w:autoSpaceDN w:val="0"/>
              <w:adjustRightInd w:val="0"/>
              <w:jc w:val="center"/>
              <w:rPr>
                <w:snapToGrid w:val="0"/>
              </w:rPr>
            </w:pPr>
            <w:r>
              <w:rPr>
                <w:snapToGrid w:val="0"/>
              </w:rPr>
              <w:t>18</w:t>
            </w:r>
          </w:p>
        </w:tc>
        <w:tc>
          <w:tcPr>
            <w:tcW w:w="1842" w:type="dxa"/>
            <w:tcBorders>
              <w:top w:val="single" w:sz="4" w:space="0" w:color="auto"/>
              <w:left w:val="single" w:sz="4" w:space="0" w:color="auto"/>
              <w:bottom w:val="single" w:sz="4" w:space="0" w:color="auto"/>
              <w:right w:val="single" w:sz="4" w:space="0" w:color="auto"/>
            </w:tcBorders>
            <w:hideMark/>
          </w:tcPr>
          <w:p w14:paraId="2D5115A4" w14:textId="77777777" w:rsidR="00804FFC" w:rsidRPr="00352742" w:rsidRDefault="00D9058D" w:rsidP="00784E07">
            <w:pPr>
              <w:widowControl w:val="0"/>
              <w:jc w:val="both"/>
            </w:pPr>
            <w:r>
              <w:rPr>
                <w:color w:val="000000"/>
              </w:rPr>
              <w:t>С</w:t>
            </w:r>
            <w:r w:rsidR="003A1C5E" w:rsidRPr="003A1C5E">
              <w:rPr>
                <w:color w:val="000000"/>
              </w:rPr>
              <w:t>рок заключения договора оказания аудиторских услуг</w:t>
            </w:r>
          </w:p>
        </w:tc>
        <w:tc>
          <w:tcPr>
            <w:tcW w:w="7178" w:type="dxa"/>
            <w:tcBorders>
              <w:top w:val="single" w:sz="4" w:space="0" w:color="auto"/>
              <w:left w:val="single" w:sz="4" w:space="0" w:color="auto"/>
              <w:bottom w:val="single" w:sz="4" w:space="0" w:color="auto"/>
              <w:right w:val="single" w:sz="4" w:space="0" w:color="auto"/>
            </w:tcBorders>
          </w:tcPr>
          <w:p w14:paraId="1AB7F94A" w14:textId="77777777" w:rsidR="00937949" w:rsidRPr="00352742" w:rsidRDefault="00937949" w:rsidP="00784E07">
            <w:pPr>
              <w:tabs>
                <w:tab w:val="left" w:pos="426"/>
                <w:tab w:val="left" w:pos="1134"/>
              </w:tabs>
              <w:overflowPunct w:val="0"/>
              <w:autoSpaceDE w:val="0"/>
              <w:autoSpaceDN w:val="0"/>
              <w:adjustRightInd w:val="0"/>
              <w:jc w:val="both"/>
            </w:pPr>
            <w:r w:rsidRPr="00352742">
              <w:t xml:space="preserve">Договор </w:t>
            </w:r>
            <w:r w:rsidR="00D9058D">
              <w:t>оказания</w:t>
            </w:r>
            <w:r w:rsidRPr="00352742">
              <w:t xml:space="preserve"> аудиторских услуг должен быть заключен </w:t>
            </w:r>
            <w:r w:rsidRPr="00352742">
              <w:rPr>
                <w:bCs/>
              </w:rPr>
              <w:t>в срок не позднее 20 (двадцати) календарных дней с даты окончания открытого конкурса</w:t>
            </w:r>
            <w:r w:rsidRPr="00352742">
              <w:t>.</w:t>
            </w:r>
          </w:p>
          <w:p w14:paraId="1EE35504" w14:textId="77777777" w:rsidR="00AD7DA9" w:rsidRPr="00352742" w:rsidRDefault="00937949" w:rsidP="00784E07">
            <w:pPr>
              <w:tabs>
                <w:tab w:val="left" w:pos="426"/>
                <w:tab w:val="left" w:pos="1134"/>
              </w:tabs>
              <w:overflowPunct w:val="0"/>
              <w:autoSpaceDE w:val="0"/>
              <w:autoSpaceDN w:val="0"/>
              <w:adjustRightInd w:val="0"/>
              <w:jc w:val="both"/>
            </w:pPr>
            <w:r w:rsidRPr="00352742">
              <w:t>Заключение договора оказания аудиторских услуг осуществляется в установленном конкурсной документацией порядке.</w:t>
            </w:r>
          </w:p>
        </w:tc>
      </w:tr>
      <w:tr w:rsidR="003A1C5E" w14:paraId="00419503" w14:textId="77777777" w:rsidTr="002101DC">
        <w:trPr>
          <w:trHeight w:val="415"/>
        </w:trPr>
        <w:tc>
          <w:tcPr>
            <w:tcW w:w="880" w:type="dxa"/>
            <w:tcBorders>
              <w:top w:val="single" w:sz="4" w:space="0" w:color="auto"/>
              <w:left w:val="single" w:sz="4" w:space="0" w:color="auto"/>
              <w:bottom w:val="single" w:sz="4" w:space="0" w:color="auto"/>
              <w:right w:val="single" w:sz="4" w:space="0" w:color="auto"/>
            </w:tcBorders>
          </w:tcPr>
          <w:p w14:paraId="6B29C282" w14:textId="77777777" w:rsidR="003A1C5E" w:rsidRPr="00352742" w:rsidRDefault="00784E07" w:rsidP="00784E07">
            <w:pPr>
              <w:autoSpaceDE w:val="0"/>
              <w:autoSpaceDN w:val="0"/>
              <w:adjustRightInd w:val="0"/>
              <w:jc w:val="center"/>
              <w:rPr>
                <w:snapToGrid w:val="0"/>
              </w:rPr>
            </w:pPr>
            <w:r>
              <w:rPr>
                <w:snapToGrid w:val="0"/>
              </w:rPr>
              <w:t>19</w:t>
            </w:r>
          </w:p>
        </w:tc>
        <w:tc>
          <w:tcPr>
            <w:tcW w:w="1842" w:type="dxa"/>
            <w:tcBorders>
              <w:top w:val="single" w:sz="4" w:space="0" w:color="auto"/>
              <w:left w:val="single" w:sz="4" w:space="0" w:color="auto"/>
              <w:bottom w:val="single" w:sz="4" w:space="0" w:color="auto"/>
              <w:right w:val="single" w:sz="4" w:space="0" w:color="auto"/>
            </w:tcBorders>
          </w:tcPr>
          <w:p w14:paraId="3C17E2FF" w14:textId="77777777" w:rsidR="003A1C5E" w:rsidRDefault="003A1C5E" w:rsidP="00784E07">
            <w:pPr>
              <w:widowControl w:val="0"/>
              <w:jc w:val="both"/>
              <w:rPr>
                <w:color w:val="000000"/>
              </w:rPr>
            </w:pPr>
            <w:r>
              <w:rPr>
                <w:color w:val="000000"/>
              </w:rPr>
              <w:t>П</w:t>
            </w:r>
            <w:r w:rsidRPr="003A1C5E">
              <w:rPr>
                <w:color w:val="000000"/>
              </w:rPr>
              <w:t>орядок получения конкурсной документации</w:t>
            </w:r>
          </w:p>
        </w:tc>
        <w:tc>
          <w:tcPr>
            <w:tcW w:w="7178" w:type="dxa"/>
            <w:tcBorders>
              <w:top w:val="single" w:sz="4" w:space="0" w:color="auto"/>
              <w:left w:val="single" w:sz="4" w:space="0" w:color="auto"/>
              <w:bottom w:val="single" w:sz="4" w:space="0" w:color="auto"/>
              <w:right w:val="single" w:sz="4" w:space="0" w:color="auto"/>
            </w:tcBorders>
          </w:tcPr>
          <w:p w14:paraId="7B6C2E85" w14:textId="42A7F1BD" w:rsidR="003A1C5E" w:rsidRPr="00352742" w:rsidRDefault="00296D95" w:rsidP="00784E07">
            <w:pPr>
              <w:tabs>
                <w:tab w:val="left" w:pos="426"/>
                <w:tab w:val="left" w:pos="1134"/>
              </w:tabs>
              <w:overflowPunct w:val="0"/>
              <w:autoSpaceDE w:val="0"/>
              <w:autoSpaceDN w:val="0"/>
              <w:adjustRightInd w:val="0"/>
              <w:jc w:val="both"/>
            </w:pPr>
            <w:r>
              <w:t>Конкурсная документация</w:t>
            </w:r>
            <w:r w:rsidR="000B1094">
              <w:t xml:space="preserve"> размещена и</w:t>
            </w:r>
            <w:r>
              <w:t xml:space="preserve"> доступна </w:t>
            </w:r>
            <w:r w:rsidR="00784E07">
              <w:t xml:space="preserve">для скачивания </w:t>
            </w:r>
            <w:r w:rsidRPr="00E54EC7">
              <w:t xml:space="preserve">на официальном </w:t>
            </w:r>
            <w:r>
              <w:t>с</w:t>
            </w:r>
            <w:r w:rsidRPr="00E54EC7">
              <w:t xml:space="preserve">айте Фонда в сети </w:t>
            </w:r>
            <w:r>
              <w:t>«</w:t>
            </w:r>
            <w:r w:rsidRPr="00E54EC7">
              <w:t>Интернет</w:t>
            </w:r>
            <w:r>
              <w:t>»</w:t>
            </w:r>
            <w:r w:rsidRPr="00E54EC7">
              <w:t xml:space="preserve"> - </w:t>
            </w:r>
            <w:hyperlink r:id="rId6" w:history="1">
              <w:r w:rsidRPr="00E54EC7">
                <w:rPr>
                  <w:rStyle w:val="a3"/>
                  <w:lang w:val="en-US"/>
                </w:rPr>
                <w:t>www</w:t>
              </w:r>
              <w:r w:rsidRPr="00E54EC7">
                <w:rPr>
                  <w:rStyle w:val="a3"/>
                </w:rPr>
                <w:t>.</w:t>
              </w:r>
              <w:proofErr w:type="spellStart"/>
              <w:r w:rsidRPr="00E54EC7">
                <w:rPr>
                  <w:rStyle w:val="a3"/>
                  <w:lang w:val="en-US"/>
                </w:rPr>
                <w:t>kamfond</w:t>
              </w:r>
              <w:proofErr w:type="spellEnd"/>
              <w:r w:rsidRPr="00E54EC7">
                <w:rPr>
                  <w:rStyle w:val="a3"/>
                </w:rPr>
                <w:t>.</w:t>
              </w:r>
              <w:proofErr w:type="spellStart"/>
              <w:r w:rsidRPr="00E54EC7">
                <w:rPr>
                  <w:rStyle w:val="a3"/>
                  <w:lang w:val="en-US"/>
                </w:rPr>
                <w:t>ru</w:t>
              </w:r>
              <w:proofErr w:type="spellEnd"/>
            </w:hyperlink>
            <w:r w:rsidR="000D3EB9">
              <w:t xml:space="preserve"> в разделе «Конкурсы</w:t>
            </w:r>
            <w:r w:rsidRPr="00E54EC7">
              <w:t>»</w:t>
            </w:r>
            <w:r w:rsidR="00726D8C">
              <w:t>.</w:t>
            </w:r>
          </w:p>
        </w:tc>
      </w:tr>
    </w:tbl>
    <w:p w14:paraId="6EFE4EC2" w14:textId="77777777" w:rsidR="0035648D" w:rsidRDefault="0035648D" w:rsidP="00E1201B">
      <w:pPr>
        <w:spacing w:after="1" w:line="220" w:lineRule="atLeast"/>
      </w:pPr>
    </w:p>
    <w:sectPr w:rsidR="0035648D" w:rsidSect="000B109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C"/>
    <w:multiLevelType w:val="multilevel"/>
    <w:tmpl w:val="8C68D854"/>
    <w:lvl w:ilvl="0">
      <w:start w:val="1"/>
      <w:numFmt w:val="decimal"/>
      <w:lvlText w:val="%1."/>
      <w:lvlJc w:val="left"/>
      <w:pPr>
        <w:ind w:left="3338" w:hanging="360"/>
      </w:pPr>
      <w:rPr>
        <w:rFonts w:hint="default"/>
        <w:b/>
      </w:rPr>
    </w:lvl>
    <w:lvl w:ilvl="1">
      <w:start w:val="1"/>
      <w:numFmt w:val="decimal"/>
      <w:lvlText w:val="%1.%2."/>
      <w:lvlJc w:val="left"/>
      <w:pPr>
        <w:ind w:left="4620" w:hanging="432"/>
      </w:pPr>
      <w:rPr>
        <w:rFonts w:hint="default"/>
        <w:b w:val="0"/>
        <w:strike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 w15:restartNumberingAfterBreak="0">
    <w:nsid w:val="14D14011"/>
    <w:multiLevelType w:val="hybridMultilevel"/>
    <w:tmpl w:val="304E8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063CD"/>
    <w:multiLevelType w:val="hybridMultilevel"/>
    <w:tmpl w:val="E550E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51DEA"/>
    <w:multiLevelType w:val="multilevel"/>
    <w:tmpl w:val="93FA653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iCs/>
        <w:color w:val="auto"/>
      </w:rPr>
    </w:lvl>
    <w:lvl w:ilvl="2">
      <w:start w:val="1"/>
      <w:numFmt w:val="decimal"/>
      <w:lvlText w:val="%1.%2.%3."/>
      <w:lvlJc w:val="left"/>
      <w:pPr>
        <w:ind w:left="4757" w:hanging="504"/>
      </w:pPr>
      <w:rPr>
        <w:rFonts w:hint="default"/>
        <w:b w:val="0"/>
        <w:bCs w:val="0"/>
        <w:strike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9B2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0B17AB"/>
    <w:multiLevelType w:val="hybridMultilevel"/>
    <w:tmpl w:val="5A306CC6"/>
    <w:lvl w:ilvl="0" w:tplc="F77E2028">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46CF3462"/>
    <w:multiLevelType w:val="hybridMultilevel"/>
    <w:tmpl w:val="A4B08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E21BE"/>
    <w:multiLevelType w:val="hybridMultilevel"/>
    <w:tmpl w:val="48BCB614"/>
    <w:lvl w:ilvl="0" w:tplc="FD4C188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51D81AFF"/>
    <w:multiLevelType w:val="multilevel"/>
    <w:tmpl w:val="3504280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FD69C6"/>
    <w:multiLevelType w:val="multilevel"/>
    <w:tmpl w:val="93FA653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iCs/>
        <w:color w:val="auto"/>
      </w:rPr>
    </w:lvl>
    <w:lvl w:ilvl="2">
      <w:start w:val="1"/>
      <w:numFmt w:val="decimal"/>
      <w:lvlText w:val="%1.%2.%3."/>
      <w:lvlJc w:val="left"/>
      <w:pPr>
        <w:ind w:left="4757" w:hanging="504"/>
      </w:pPr>
      <w:rPr>
        <w:rFonts w:hint="default"/>
        <w:b w:val="0"/>
        <w:bCs w:val="0"/>
        <w:strike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1D1C52"/>
    <w:multiLevelType w:val="hybridMultilevel"/>
    <w:tmpl w:val="64548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F3625"/>
    <w:multiLevelType w:val="multilevel"/>
    <w:tmpl w:val="B604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37AE6"/>
    <w:multiLevelType w:val="multilevel"/>
    <w:tmpl w:val="577830DC"/>
    <w:lvl w:ilvl="0">
      <w:start w:val="1"/>
      <w:numFmt w:val="decimal"/>
      <w:lvlText w:val="%1."/>
      <w:lvlJc w:val="left"/>
      <w:pPr>
        <w:ind w:left="3338" w:hanging="360"/>
      </w:pPr>
      <w:rPr>
        <w:rFonts w:hint="default"/>
        <w:b/>
      </w:rPr>
    </w:lvl>
    <w:lvl w:ilvl="1">
      <w:start w:val="1"/>
      <w:numFmt w:val="decimal"/>
      <w:lvlText w:val="%1.%2."/>
      <w:lvlJc w:val="left"/>
      <w:pPr>
        <w:ind w:left="4620" w:hanging="432"/>
      </w:pPr>
      <w:rPr>
        <w:rFonts w:hint="default"/>
        <w:b w:val="0"/>
        <w:strike w:val="0"/>
      </w:rPr>
    </w:lvl>
    <w:lvl w:ilvl="2">
      <w:start w:val="1"/>
      <w:numFmt w:val="decimal"/>
      <w:lvlText w:val="%3."/>
      <w:lvlJc w:val="left"/>
      <w:pPr>
        <w:ind w:left="4908" w:hanging="360"/>
      </w:p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3" w15:restartNumberingAfterBreak="0">
    <w:nsid w:val="7AD76EA6"/>
    <w:multiLevelType w:val="hybridMultilevel"/>
    <w:tmpl w:val="56823C94"/>
    <w:lvl w:ilvl="0" w:tplc="6C242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78534788">
    <w:abstractNumId w:val="11"/>
  </w:num>
  <w:num w:numId="2" w16cid:durableId="2026396840">
    <w:abstractNumId w:val="9"/>
  </w:num>
  <w:num w:numId="3" w16cid:durableId="2054888763">
    <w:abstractNumId w:val="3"/>
  </w:num>
  <w:num w:numId="4" w16cid:durableId="1247836009">
    <w:abstractNumId w:val="7"/>
  </w:num>
  <w:num w:numId="5" w16cid:durableId="196545919">
    <w:abstractNumId w:val="5"/>
  </w:num>
  <w:num w:numId="6" w16cid:durableId="1399010496">
    <w:abstractNumId w:val="0"/>
  </w:num>
  <w:num w:numId="7" w16cid:durableId="1688866578">
    <w:abstractNumId w:val="12"/>
  </w:num>
  <w:num w:numId="8" w16cid:durableId="1388410093">
    <w:abstractNumId w:val="8"/>
  </w:num>
  <w:num w:numId="9" w16cid:durableId="267588543">
    <w:abstractNumId w:val="10"/>
  </w:num>
  <w:num w:numId="10" w16cid:durableId="65611423">
    <w:abstractNumId w:val="2"/>
  </w:num>
  <w:num w:numId="11" w16cid:durableId="1664580175">
    <w:abstractNumId w:val="6"/>
  </w:num>
  <w:num w:numId="12" w16cid:durableId="2006320408">
    <w:abstractNumId w:val="1"/>
  </w:num>
  <w:num w:numId="13" w16cid:durableId="516164814">
    <w:abstractNumId w:val="4"/>
  </w:num>
  <w:num w:numId="14" w16cid:durableId="13703728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76"/>
    <w:rsid w:val="00006C76"/>
    <w:rsid w:val="0002194B"/>
    <w:rsid w:val="00030BC2"/>
    <w:rsid w:val="00054B6A"/>
    <w:rsid w:val="000B1094"/>
    <w:rsid w:val="000D3EB9"/>
    <w:rsid w:val="000D49E0"/>
    <w:rsid w:val="00125905"/>
    <w:rsid w:val="001623B2"/>
    <w:rsid w:val="001C4076"/>
    <w:rsid w:val="001D5252"/>
    <w:rsid w:val="00200696"/>
    <w:rsid w:val="002101DC"/>
    <w:rsid w:val="00245578"/>
    <w:rsid w:val="00271F4F"/>
    <w:rsid w:val="00296D95"/>
    <w:rsid w:val="00313344"/>
    <w:rsid w:val="00344989"/>
    <w:rsid w:val="00352742"/>
    <w:rsid w:val="0035648D"/>
    <w:rsid w:val="00383B7B"/>
    <w:rsid w:val="003A1C5E"/>
    <w:rsid w:val="003D1BDD"/>
    <w:rsid w:val="0040401B"/>
    <w:rsid w:val="00447081"/>
    <w:rsid w:val="004F1C49"/>
    <w:rsid w:val="0051238F"/>
    <w:rsid w:val="005A20C4"/>
    <w:rsid w:val="006230CB"/>
    <w:rsid w:val="00640800"/>
    <w:rsid w:val="00643EF9"/>
    <w:rsid w:val="00685BD2"/>
    <w:rsid w:val="006D1137"/>
    <w:rsid w:val="00726D8C"/>
    <w:rsid w:val="007554B5"/>
    <w:rsid w:val="00784E07"/>
    <w:rsid w:val="00795EEF"/>
    <w:rsid w:val="00804FFC"/>
    <w:rsid w:val="00865019"/>
    <w:rsid w:val="008B6AA2"/>
    <w:rsid w:val="00937949"/>
    <w:rsid w:val="00943745"/>
    <w:rsid w:val="00944C80"/>
    <w:rsid w:val="009556E6"/>
    <w:rsid w:val="00995300"/>
    <w:rsid w:val="00A14008"/>
    <w:rsid w:val="00A350C5"/>
    <w:rsid w:val="00A97E57"/>
    <w:rsid w:val="00AC1E39"/>
    <w:rsid w:val="00AD7DA9"/>
    <w:rsid w:val="00AE6EDC"/>
    <w:rsid w:val="00B82D79"/>
    <w:rsid w:val="00CC782B"/>
    <w:rsid w:val="00CD15E3"/>
    <w:rsid w:val="00CD39E8"/>
    <w:rsid w:val="00D522E3"/>
    <w:rsid w:val="00D9058D"/>
    <w:rsid w:val="00D97B0C"/>
    <w:rsid w:val="00DB2601"/>
    <w:rsid w:val="00E1201B"/>
    <w:rsid w:val="00E25B5E"/>
    <w:rsid w:val="00E50AE1"/>
    <w:rsid w:val="00EE33CF"/>
    <w:rsid w:val="00F728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E9C"/>
  <w15:docId w15:val="{AC91D395-6E97-4F56-ADC8-573215BD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01B"/>
    <w:rPr>
      <w:color w:val="0000FF" w:themeColor="hyperlink"/>
      <w:u w:val="single"/>
    </w:rPr>
  </w:style>
  <w:style w:type="character" w:customStyle="1" w:styleId="FontStyle14">
    <w:name w:val="Font Style14"/>
    <w:rsid w:val="00E1201B"/>
    <w:rPr>
      <w:rFonts w:ascii="Times New Roman" w:hAnsi="Times New Roman" w:cs="Times New Roman"/>
      <w:sz w:val="26"/>
      <w:szCs w:val="26"/>
    </w:rPr>
  </w:style>
  <w:style w:type="paragraph" w:styleId="a4">
    <w:name w:val="List Paragraph"/>
    <w:basedOn w:val="a"/>
    <w:uiPriority w:val="34"/>
    <w:qFormat/>
    <w:rsid w:val="00E1201B"/>
    <w:pPr>
      <w:ind w:left="720"/>
      <w:contextualSpacing/>
    </w:pPr>
  </w:style>
  <w:style w:type="paragraph" w:styleId="HTML">
    <w:name w:val="HTML Preformatted"/>
    <w:basedOn w:val="a"/>
    <w:link w:val="HTML0"/>
    <w:uiPriority w:val="99"/>
    <w:semiHidden/>
    <w:unhideWhenUsed/>
    <w:rsid w:val="00E1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1201B"/>
    <w:rPr>
      <w:rFonts w:ascii="Courier New" w:eastAsia="Times New Roman" w:hAnsi="Courier New" w:cs="Courier New"/>
      <w:sz w:val="20"/>
      <w:szCs w:val="20"/>
      <w:lang w:eastAsia="ru-RU"/>
    </w:rPr>
  </w:style>
  <w:style w:type="character" w:customStyle="1" w:styleId="FontStyle13">
    <w:name w:val="Font Style13"/>
    <w:rsid w:val="00DB2601"/>
    <w:rPr>
      <w:rFonts w:ascii="Times New Roman" w:hAnsi="Times New Roman" w:cs="Times New Roman"/>
      <w:b/>
      <w:bCs/>
      <w:sz w:val="26"/>
      <w:szCs w:val="26"/>
    </w:rPr>
  </w:style>
  <w:style w:type="character" w:customStyle="1" w:styleId="1">
    <w:name w:val="Неразрешенное упоминание1"/>
    <w:basedOn w:val="a0"/>
    <w:uiPriority w:val="99"/>
    <w:semiHidden/>
    <w:unhideWhenUsed/>
    <w:rsid w:val="0021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1747">
      <w:bodyDiv w:val="1"/>
      <w:marLeft w:val="0"/>
      <w:marRight w:val="0"/>
      <w:marTop w:val="0"/>
      <w:marBottom w:val="0"/>
      <w:divBdr>
        <w:top w:val="none" w:sz="0" w:space="0" w:color="auto"/>
        <w:left w:val="none" w:sz="0" w:space="0" w:color="auto"/>
        <w:bottom w:val="none" w:sz="0" w:space="0" w:color="auto"/>
        <w:right w:val="none" w:sz="0" w:space="0" w:color="auto"/>
      </w:divBdr>
    </w:div>
    <w:div w:id="20366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fond.ru" TargetMode="External"/><Relationship Id="rId5" Type="http://schemas.openxmlformats.org/officeDocument/2006/relationships/hyperlink" Target="mailto:info@kamfo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Юрьевна</dc:creator>
  <cp:keywords/>
  <dc:description/>
  <cp:lastModifiedBy>Ольга Борисовна</cp:lastModifiedBy>
  <cp:revision>2</cp:revision>
  <dcterms:created xsi:type="dcterms:W3CDTF">2023-11-02T22:13:00Z</dcterms:created>
  <dcterms:modified xsi:type="dcterms:W3CDTF">2023-11-02T22:13:00Z</dcterms:modified>
</cp:coreProperties>
</file>